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pPr w:leftFromText="180" w:rightFromText="180" w:vertAnchor="text" w:horzAnchor="margin" w:tblpY="154"/>
        <w:tblW w:w="10098" w:type="dxa"/>
        <w:tblLayout w:type="fixed"/>
        <w:tblLook w:val="04A0" w:firstRow="1" w:lastRow="0" w:firstColumn="1" w:lastColumn="0" w:noHBand="0" w:noVBand="1"/>
      </w:tblPr>
      <w:tblGrid>
        <w:gridCol w:w="3708"/>
        <w:gridCol w:w="180"/>
        <w:gridCol w:w="6210"/>
      </w:tblGrid>
      <w:tr w:rsidR="007E2458" w:rsidRPr="000A44FF" w14:paraId="640C2E10" w14:textId="77777777" w:rsidTr="00C32B5B">
        <w:tc>
          <w:tcPr>
            <w:tcW w:w="10098" w:type="dxa"/>
            <w:gridSpan w:val="3"/>
            <w:shd w:val="clear" w:color="auto" w:fill="DBE5F1" w:themeFill="accent1" w:themeFillTint="33"/>
          </w:tcPr>
          <w:p w14:paraId="640C2E0B" w14:textId="77777777" w:rsidR="007E2458" w:rsidRPr="000A44FF" w:rsidRDefault="007E2458" w:rsidP="00621A25">
            <w:pPr>
              <w:rPr>
                <w:szCs w:val="22"/>
              </w:rPr>
            </w:pPr>
            <w:bookmarkStart w:id="0" w:name="_GoBack"/>
            <w:bookmarkEnd w:id="0"/>
          </w:p>
          <w:p w14:paraId="640C2E0C" w14:textId="77777777" w:rsidR="007E2458" w:rsidRPr="000A44FF" w:rsidRDefault="007E2458" w:rsidP="00621A25">
            <w:pPr>
              <w:rPr>
                <w:szCs w:val="22"/>
              </w:rPr>
            </w:pPr>
          </w:p>
          <w:p w14:paraId="640C2E0D" w14:textId="77777777" w:rsidR="007E2458" w:rsidRPr="000A44FF" w:rsidRDefault="007E2458" w:rsidP="00621A25">
            <w:pPr>
              <w:rPr>
                <w:szCs w:val="22"/>
              </w:rPr>
            </w:pPr>
          </w:p>
          <w:p w14:paraId="640C2E0E" w14:textId="77777777" w:rsidR="007E2458" w:rsidRPr="000A44FF" w:rsidRDefault="007E2458" w:rsidP="00621A25">
            <w:pPr>
              <w:rPr>
                <w:szCs w:val="22"/>
              </w:rPr>
            </w:pPr>
          </w:p>
          <w:p w14:paraId="640C2E0F" w14:textId="77777777" w:rsidR="007E2458" w:rsidRPr="000A44FF" w:rsidRDefault="007E2458" w:rsidP="00621A25">
            <w:pPr>
              <w:rPr>
                <w:szCs w:val="22"/>
              </w:rPr>
            </w:pPr>
          </w:p>
        </w:tc>
      </w:tr>
      <w:tr w:rsidR="00621A25" w:rsidRPr="000A44FF" w14:paraId="640C2E13" w14:textId="77777777" w:rsidTr="006856DA">
        <w:tc>
          <w:tcPr>
            <w:tcW w:w="3708" w:type="dxa"/>
            <w:shd w:val="clear" w:color="auto" w:fill="000000" w:themeFill="text1"/>
          </w:tcPr>
          <w:p w14:paraId="640C2E11" w14:textId="77777777" w:rsidR="00621A25" w:rsidRPr="000A44FF" w:rsidRDefault="00621A25" w:rsidP="00621A25">
            <w:pPr>
              <w:rPr>
                <w:szCs w:val="22"/>
              </w:rPr>
            </w:pPr>
          </w:p>
        </w:tc>
        <w:tc>
          <w:tcPr>
            <w:tcW w:w="6390" w:type="dxa"/>
            <w:gridSpan w:val="2"/>
            <w:tcBorders>
              <w:bottom w:val="single" w:sz="4" w:space="0" w:color="auto"/>
            </w:tcBorders>
            <w:shd w:val="clear" w:color="auto" w:fill="000000" w:themeFill="text1"/>
          </w:tcPr>
          <w:p w14:paraId="640C2E12" w14:textId="77777777" w:rsidR="00621A25" w:rsidRPr="000A44FF" w:rsidRDefault="00621A25" w:rsidP="00621A25">
            <w:pPr>
              <w:rPr>
                <w:szCs w:val="22"/>
              </w:rPr>
            </w:pPr>
          </w:p>
        </w:tc>
      </w:tr>
      <w:tr w:rsidR="00AD3DE1" w:rsidRPr="000A44FF" w14:paraId="640C2E18" w14:textId="77777777" w:rsidTr="006856DA">
        <w:tc>
          <w:tcPr>
            <w:tcW w:w="10098" w:type="dxa"/>
            <w:gridSpan w:val="3"/>
            <w:shd w:val="clear" w:color="auto" w:fill="4F81BD" w:themeFill="accent1"/>
            <w:vAlign w:val="center"/>
          </w:tcPr>
          <w:p w14:paraId="640C2E14" w14:textId="77777777" w:rsidR="00AD3DE1" w:rsidRDefault="00AD3DE1" w:rsidP="00AD3DE1">
            <w:pPr>
              <w:jc w:val="center"/>
              <w:rPr>
                <w:rFonts w:asciiTheme="majorHAnsi" w:hAnsiTheme="majorHAnsi"/>
                <w:b/>
                <w:color w:val="FFFFFF" w:themeColor="background1"/>
                <w:sz w:val="40"/>
                <w:szCs w:val="40"/>
                <w14:shadow w14:blurRad="50800" w14:dist="38100" w14:dir="2700000" w14:sx="100000" w14:sy="100000" w14:kx="0" w14:ky="0" w14:algn="tl">
                  <w14:srgbClr w14:val="000000">
                    <w14:alpha w14:val="60000"/>
                  </w14:srgbClr>
                </w14:shadow>
              </w:rPr>
            </w:pPr>
          </w:p>
          <w:p w14:paraId="640C2E15" w14:textId="77777777" w:rsidR="006856DA" w:rsidRDefault="00AD3DE1" w:rsidP="00AD3DE1">
            <w:pPr>
              <w:ind w:left="270" w:right="342"/>
              <w:jc w:val="center"/>
              <w:rPr>
                <w:rFonts w:asciiTheme="majorHAnsi" w:hAnsiTheme="majorHAnsi"/>
                <w:b/>
                <w:color w:val="FFFFFF" w:themeColor="background1"/>
                <w:sz w:val="40"/>
                <w:szCs w:val="40"/>
                <w14:shadow w14:blurRad="50800" w14:dist="38100" w14:dir="2700000" w14:sx="100000" w14:sy="100000" w14:kx="0" w14:ky="0" w14:algn="tl">
                  <w14:srgbClr w14:val="000000">
                    <w14:alpha w14:val="60000"/>
                  </w14:srgbClr>
                </w14:shadow>
              </w:rPr>
            </w:pPr>
            <w:r w:rsidRPr="000A44FF">
              <w:rPr>
                <w:rFonts w:asciiTheme="majorHAnsi" w:hAnsiTheme="majorHAnsi"/>
                <w:b/>
                <w:color w:val="FFFFFF" w:themeColor="background1"/>
                <w:sz w:val="40"/>
                <w:szCs w:val="40"/>
                <w14:shadow w14:blurRad="50800" w14:dist="38100" w14:dir="2700000" w14:sx="100000" w14:sy="100000" w14:kx="0" w14:ky="0" w14:algn="tl">
                  <w14:srgbClr w14:val="000000">
                    <w14:alpha w14:val="60000"/>
                  </w14:srgbClr>
                </w14:shadow>
              </w:rPr>
              <w:t>The Small Business Innovation Research (SBIR) &amp; Small Business Technology Transfer (STTR) Program</w:t>
            </w:r>
            <w:r>
              <w:rPr>
                <w:rFonts w:asciiTheme="majorHAnsi" w:hAnsiTheme="majorHAnsi"/>
                <w:b/>
                <w:color w:val="FFFFFF" w:themeColor="background1"/>
                <w:sz w:val="40"/>
                <w:szCs w:val="40"/>
                <w14:shadow w14:blurRad="50800" w14:dist="38100" w14:dir="2700000" w14:sx="100000" w14:sy="100000" w14:kx="0" w14:ky="0" w14:algn="tl">
                  <w14:srgbClr w14:val="000000">
                    <w14:alpha w14:val="60000"/>
                  </w14:srgbClr>
                </w14:shadow>
              </w:rPr>
              <w:t xml:space="preserve"> Interagency Policy Committee </w:t>
            </w:r>
          </w:p>
          <w:p w14:paraId="640C2E16" w14:textId="77777777" w:rsidR="00AD3DE1" w:rsidRDefault="00AD3DE1" w:rsidP="00AD3DE1">
            <w:pPr>
              <w:ind w:left="270" w:right="342"/>
              <w:jc w:val="center"/>
              <w:rPr>
                <w:rFonts w:asciiTheme="majorHAnsi" w:hAnsiTheme="majorHAnsi"/>
                <w:b/>
                <w:color w:val="FFFFFF" w:themeColor="background1"/>
                <w:sz w:val="40"/>
                <w:szCs w:val="40"/>
                <w14:shadow w14:blurRad="50800" w14:dist="38100" w14:dir="2700000" w14:sx="100000" w14:sy="100000" w14:kx="0" w14:ky="0" w14:algn="tl">
                  <w14:srgbClr w14:val="000000">
                    <w14:alpha w14:val="60000"/>
                  </w14:srgbClr>
                </w14:shadow>
              </w:rPr>
            </w:pPr>
            <w:r>
              <w:rPr>
                <w:rFonts w:asciiTheme="majorHAnsi" w:hAnsiTheme="majorHAnsi"/>
                <w:b/>
                <w:color w:val="FFFFFF" w:themeColor="background1"/>
                <w:sz w:val="40"/>
                <w:szCs w:val="40"/>
                <w14:shadow w14:blurRad="50800" w14:dist="38100" w14:dir="2700000" w14:sx="100000" w14:sy="100000" w14:kx="0" w14:ky="0" w14:algn="tl">
                  <w14:srgbClr w14:val="000000">
                    <w14:alpha w14:val="60000"/>
                  </w14:srgbClr>
                </w14:shadow>
              </w:rPr>
              <w:t>Report to Congress</w:t>
            </w:r>
          </w:p>
          <w:p w14:paraId="640C2E17" w14:textId="77777777" w:rsidR="00AD3DE1" w:rsidRPr="00AD3DE1" w:rsidRDefault="00AD3DE1" w:rsidP="00AD3DE1">
            <w:pPr>
              <w:jc w:val="center"/>
              <w:rPr>
                <w:rFonts w:asciiTheme="majorHAnsi" w:hAnsiTheme="majorHAnsi"/>
                <w:b/>
                <w:color w:val="FFFFFF" w:themeColor="background1"/>
                <w:sz w:val="40"/>
                <w:szCs w:val="40"/>
                <w14:shadow w14:blurRad="50800" w14:dist="38100" w14:dir="2700000" w14:sx="100000" w14:sy="100000" w14:kx="0" w14:ky="0" w14:algn="tl">
                  <w14:srgbClr w14:val="000000">
                    <w14:alpha w14:val="60000"/>
                  </w14:srgbClr>
                </w14:shadow>
              </w:rPr>
            </w:pPr>
          </w:p>
        </w:tc>
      </w:tr>
      <w:tr w:rsidR="00621A25" w:rsidRPr="000A44FF" w14:paraId="640C2E1B" w14:textId="77777777" w:rsidTr="006856DA">
        <w:tc>
          <w:tcPr>
            <w:tcW w:w="3888" w:type="dxa"/>
            <w:gridSpan w:val="2"/>
            <w:tcBorders>
              <w:bottom w:val="single" w:sz="4" w:space="0" w:color="auto"/>
            </w:tcBorders>
            <w:shd w:val="clear" w:color="auto" w:fill="000000" w:themeFill="text1"/>
          </w:tcPr>
          <w:p w14:paraId="640C2E19" w14:textId="77777777" w:rsidR="00621A25" w:rsidRPr="000A44FF" w:rsidRDefault="00621A25" w:rsidP="00621A25">
            <w:pPr>
              <w:rPr>
                <w:szCs w:val="22"/>
              </w:rPr>
            </w:pPr>
          </w:p>
        </w:tc>
        <w:tc>
          <w:tcPr>
            <w:tcW w:w="6210" w:type="dxa"/>
            <w:tcBorders>
              <w:bottom w:val="single" w:sz="4" w:space="0" w:color="auto"/>
            </w:tcBorders>
            <w:shd w:val="clear" w:color="auto" w:fill="000000" w:themeFill="text1"/>
          </w:tcPr>
          <w:p w14:paraId="640C2E1A" w14:textId="77777777" w:rsidR="00621A25" w:rsidRPr="000A44FF" w:rsidRDefault="00621A25" w:rsidP="00621A25">
            <w:pPr>
              <w:rPr>
                <w:szCs w:val="22"/>
              </w:rPr>
            </w:pPr>
          </w:p>
        </w:tc>
      </w:tr>
      <w:tr w:rsidR="00621A25" w:rsidRPr="000A44FF" w14:paraId="640C2E41" w14:textId="77777777" w:rsidTr="006856DA">
        <w:tc>
          <w:tcPr>
            <w:tcW w:w="3888" w:type="dxa"/>
            <w:gridSpan w:val="2"/>
            <w:tcBorders>
              <w:right w:val="single" w:sz="4" w:space="0" w:color="auto"/>
            </w:tcBorders>
            <w:shd w:val="clear" w:color="auto" w:fill="EEECE1" w:themeFill="background2"/>
          </w:tcPr>
          <w:p w14:paraId="640C2E1C" w14:textId="77777777" w:rsidR="00621A25" w:rsidRPr="000A44FF" w:rsidRDefault="00621A25" w:rsidP="00621A25">
            <w:pPr>
              <w:rPr>
                <w:szCs w:val="22"/>
              </w:rPr>
            </w:pPr>
          </w:p>
          <w:p w14:paraId="640C2E1D" w14:textId="77777777" w:rsidR="00621A25" w:rsidRPr="009C5222" w:rsidRDefault="00AD3DE1" w:rsidP="00621A25">
            <w:pPr>
              <w:rPr>
                <w:b/>
                <w:sz w:val="24"/>
                <w:szCs w:val="22"/>
              </w:rPr>
            </w:pPr>
            <w:r w:rsidRPr="009C5222">
              <w:rPr>
                <w:b/>
                <w:sz w:val="24"/>
                <w:szCs w:val="22"/>
              </w:rPr>
              <w:t>Office of Science and Technology</w:t>
            </w:r>
          </w:p>
          <w:p w14:paraId="640C2E1E" w14:textId="77777777" w:rsidR="00AD3DE1" w:rsidRPr="009C5222" w:rsidRDefault="00AD3DE1" w:rsidP="00621A25">
            <w:pPr>
              <w:rPr>
                <w:b/>
                <w:sz w:val="24"/>
                <w:szCs w:val="22"/>
              </w:rPr>
            </w:pPr>
            <w:r w:rsidRPr="009C5222">
              <w:rPr>
                <w:b/>
                <w:sz w:val="24"/>
                <w:szCs w:val="22"/>
              </w:rPr>
              <w:t>Small Business Administration</w:t>
            </w:r>
          </w:p>
          <w:p w14:paraId="640C2E1F" w14:textId="77777777" w:rsidR="00621A25" w:rsidRPr="000A44FF" w:rsidRDefault="00621A25" w:rsidP="00621A25">
            <w:pPr>
              <w:rPr>
                <w:szCs w:val="22"/>
              </w:rPr>
            </w:pPr>
          </w:p>
          <w:p w14:paraId="640C2E20" w14:textId="77777777" w:rsidR="00621A25" w:rsidRPr="000A44FF" w:rsidRDefault="00621A25" w:rsidP="00621A25">
            <w:pPr>
              <w:jc w:val="center"/>
              <w:rPr>
                <w:b/>
                <w:sz w:val="24"/>
                <w:szCs w:val="22"/>
                <w:u w:val="single"/>
              </w:rPr>
            </w:pPr>
            <w:r w:rsidRPr="000A44FF">
              <w:rPr>
                <w:b/>
                <w:sz w:val="24"/>
                <w:szCs w:val="22"/>
                <w:u w:val="single"/>
              </w:rPr>
              <w:t>Participating Agencies</w:t>
            </w:r>
          </w:p>
          <w:p w14:paraId="640C2E21" w14:textId="77777777" w:rsidR="00621A25" w:rsidRPr="000A44FF" w:rsidRDefault="00621A25" w:rsidP="00621A25">
            <w:pPr>
              <w:ind w:left="270" w:hanging="270"/>
              <w:jc w:val="left"/>
              <w:rPr>
                <w:b/>
                <w:szCs w:val="22"/>
              </w:rPr>
            </w:pPr>
          </w:p>
          <w:p w14:paraId="640C2E22" w14:textId="77777777" w:rsidR="00621A25" w:rsidRPr="000A44FF" w:rsidRDefault="00621A25" w:rsidP="00621A25">
            <w:pPr>
              <w:ind w:left="270" w:hanging="270"/>
              <w:jc w:val="left"/>
              <w:rPr>
                <w:b/>
                <w:szCs w:val="22"/>
              </w:rPr>
            </w:pPr>
            <w:r w:rsidRPr="000A44FF">
              <w:rPr>
                <w:b/>
                <w:szCs w:val="22"/>
              </w:rPr>
              <w:t>Department of Defense</w:t>
            </w:r>
          </w:p>
          <w:p w14:paraId="640C2E23" w14:textId="77777777" w:rsidR="00621A25" w:rsidRPr="000A44FF" w:rsidRDefault="00621A25" w:rsidP="00621A25">
            <w:pPr>
              <w:ind w:left="270" w:hanging="270"/>
              <w:jc w:val="left"/>
              <w:rPr>
                <w:b/>
                <w:szCs w:val="22"/>
              </w:rPr>
            </w:pPr>
            <w:r w:rsidRPr="000A44FF">
              <w:rPr>
                <w:b/>
                <w:szCs w:val="22"/>
              </w:rPr>
              <w:t>Department of Health &amp; Human Services</w:t>
            </w:r>
          </w:p>
          <w:p w14:paraId="640C2E24" w14:textId="77777777" w:rsidR="00621A25" w:rsidRPr="000A44FF" w:rsidRDefault="00621A25" w:rsidP="00621A25">
            <w:pPr>
              <w:ind w:left="270" w:hanging="270"/>
              <w:jc w:val="left"/>
              <w:rPr>
                <w:b/>
                <w:szCs w:val="22"/>
              </w:rPr>
            </w:pPr>
            <w:r w:rsidRPr="000A44FF">
              <w:rPr>
                <w:b/>
                <w:szCs w:val="22"/>
              </w:rPr>
              <w:t>Department of Energy</w:t>
            </w:r>
          </w:p>
          <w:p w14:paraId="640C2E25" w14:textId="77777777" w:rsidR="00621A25" w:rsidRPr="000A44FF" w:rsidRDefault="00621A25" w:rsidP="00621A25">
            <w:pPr>
              <w:ind w:left="270" w:hanging="270"/>
              <w:jc w:val="left"/>
              <w:rPr>
                <w:b/>
                <w:szCs w:val="22"/>
              </w:rPr>
            </w:pPr>
            <w:r w:rsidRPr="000A44FF">
              <w:rPr>
                <w:b/>
                <w:szCs w:val="22"/>
              </w:rPr>
              <w:t>National Aeronautics &amp; Space Administration</w:t>
            </w:r>
          </w:p>
          <w:p w14:paraId="640C2E26" w14:textId="77777777" w:rsidR="00621A25" w:rsidRPr="000A44FF" w:rsidRDefault="00621A25" w:rsidP="00621A25">
            <w:pPr>
              <w:ind w:left="270" w:hanging="270"/>
              <w:jc w:val="left"/>
              <w:rPr>
                <w:b/>
                <w:szCs w:val="22"/>
              </w:rPr>
            </w:pPr>
            <w:r w:rsidRPr="000A44FF">
              <w:rPr>
                <w:b/>
                <w:szCs w:val="22"/>
              </w:rPr>
              <w:t>National Science Foundation</w:t>
            </w:r>
          </w:p>
          <w:p w14:paraId="640C2E27" w14:textId="77777777" w:rsidR="00621A25" w:rsidRPr="000A44FF" w:rsidRDefault="00621A25" w:rsidP="00621A25">
            <w:pPr>
              <w:ind w:left="270" w:hanging="270"/>
              <w:jc w:val="left"/>
              <w:rPr>
                <w:b/>
                <w:szCs w:val="22"/>
              </w:rPr>
            </w:pPr>
            <w:r w:rsidRPr="000A44FF">
              <w:rPr>
                <w:b/>
                <w:szCs w:val="22"/>
              </w:rPr>
              <w:t>Department of Agriculture</w:t>
            </w:r>
          </w:p>
          <w:p w14:paraId="640C2E28" w14:textId="77777777" w:rsidR="00621A25" w:rsidRPr="000A44FF" w:rsidRDefault="00621A25" w:rsidP="00621A25">
            <w:pPr>
              <w:ind w:left="270" w:hanging="270"/>
              <w:jc w:val="left"/>
              <w:rPr>
                <w:b/>
                <w:szCs w:val="22"/>
              </w:rPr>
            </w:pPr>
            <w:r w:rsidRPr="000A44FF">
              <w:rPr>
                <w:b/>
                <w:szCs w:val="22"/>
              </w:rPr>
              <w:t>Department of Homeland Security</w:t>
            </w:r>
          </w:p>
          <w:p w14:paraId="640C2E29" w14:textId="77777777" w:rsidR="00621A25" w:rsidRPr="000A44FF" w:rsidRDefault="00621A25" w:rsidP="00621A25">
            <w:pPr>
              <w:ind w:left="270" w:hanging="270"/>
              <w:jc w:val="left"/>
              <w:rPr>
                <w:b/>
                <w:szCs w:val="22"/>
              </w:rPr>
            </w:pPr>
            <w:r w:rsidRPr="000A44FF">
              <w:rPr>
                <w:b/>
                <w:szCs w:val="22"/>
              </w:rPr>
              <w:t>Department of Education</w:t>
            </w:r>
          </w:p>
          <w:p w14:paraId="640C2E2A" w14:textId="77777777" w:rsidR="00621A25" w:rsidRPr="000A44FF" w:rsidRDefault="00621A25" w:rsidP="00621A25">
            <w:pPr>
              <w:ind w:left="270" w:hanging="270"/>
              <w:jc w:val="left"/>
              <w:rPr>
                <w:b/>
                <w:szCs w:val="22"/>
              </w:rPr>
            </w:pPr>
            <w:r w:rsidRPr="000A44FF">
              <w:rPr>
                <w:b/>
                <w:szCs w:val="22"/>
              </w:rPr>
              <w:t>Department of Commerce</w:t>
            </w:r>
          </w:p>
          <w:p w14:paraId="640C2E2B" w14:textId="77777777" w:rsidR="00621A25" w:rsidRPr="000A44FF" w:rsidRDefault="00621A25" w:rsidP="00621A25">
            <w:pPr>
              <w:ind w:left="270" w:hanging="270"/>
              <w:jc w:val="left"/>
              <w:rPr>
                <w:b/>
                <w:szCs w:val="22"/>
              </w:rPr>
            </w:pPr>
            <w:r w:rsidRPr="000A44FF">
              <w:rPr>
                <w:b/>
                <w:szCs w:val="22"/>
              </w:rPr>
              <w:t>Environmental Protection Agency</w:t>
            </w:r>
          </w:p>
          <w:p w14:paraId="640C2E2C" w14:textId="77777777" w:rsidR="00621A25" w:rsidRPr="000A44FF" w:rsidRDefault="00621A25" w:rsidP="00621A25">
            <w:pPr>
              <w:ind w:left="270" w:hanging="270"/>
              <w:jc w:val="left"/>
              <w:rPr>
                <w:szCs w:val="22"/>
              </w:rPr>
            </w:pPr>
            <w:r w:rsidRPr="000A44FF">
              <w:rPr>
                <w:b/>
                <w:szCs w:val="22"/>
              </w:rPr>
              <w:t>Department of Transportation</w:t>
            </w:r>
          </w:p>
        </w:tc>
        <w:tc>
          <w:tcPr>
            <w:tcW w:w="6210" w:type="dxa"/>
            <w:tcBorders>
              <w:left w:val="single" w:sz="4" w:space="0" w:color="auto"/>
            </w:tcBorders>
            <w:shd w:val="clear" w:color="auto" w:fill="FFFFFF" w:themeFill="background1"/>
          </w:tcPr>
          <w:p w14:paraId="640C2E2D" w14:textId="77777777" w:rsidR="00621A25" w:rsidRPr="000A44FF" w:rsidRDefault="00621A25" w:rsidP="00621A25">
            <w:pPr>
              <w:rPr>
                <w:szCs w:val="22"/>
              </w:rPr>
            </w:pPr>
          </w:p>
          <w:p w14:paraId="640C2E2E" w14:textId="77777777" w:rsidR="00621A25" w:rsidRPr="000A44FF" w:rsidRDefault="00621A25" w:rsidP="00621A25">
            <w:pPr>
              <w:ind w:left="720"/>
              <w:rPr>
                <w:b/>
                <w:szCs w:val="22"/>
              </w:rPr>
            </w:pPr>
          </w:p>
          <w:p w14:paraId="640C2E2F" w14:textId="77777777" w:rsidR="006856DA" w:rsidRDefault="006856DA" w:rsidP="003117F4">
            <w:pPr>
              <w:ind w:left="720" w:right="612"/>
              <w:jc w:val="center"/>
              <w:rPr>
                <w:b/>
                <w:sz w:val="44"/>
                <w:szCs w:val="28"/>
              </w:rPr>
            </w:pPr>
            <w:r>
              <w:rPr>
                <w:b/>
                <w:sz w:val="44"/>
                <w:szCs w:val="28"/>
              </w:rPr>
              <w:t>SBIR/STTR</w:t>
            </w:r>
          </w:p>
          <w:p w14:paraId="640C2E30" w14:textId="77777777" w:rsidR="00621A25" w:rsidRPr="00AD3DE1" w:rsidRDefault="00206F2E" w:rsidP="003117F4">
            <w:pPr>
              <w:ind w:left="720" w:right="612"/>
              <w:jc w:val="center"/>
              <w:rPr>
                <w:b/>
                <w:sz w:val="44"/>
                <w:szCs w:val="28"/>
              </w:rPr>
            </w:pPr>
            <w:r>
              <w:rPr>
                <w:b/>
                <w:sz w:val="44"/>
                <w:szCs w:val="28"/>
              </w:rPr>
              <w:t>Standard Evaluation Framework</w:t>
            </w:r>
          </w:p>
          <w:p w14:paraId="640C2E31" w14:textId="77777777" w:rsidR="00D86378" w:rsidRDefault="00D86378" w:rsidP="003117F4">
            <w:pPr>
              <w:ind w:left="720" w:right="612"/>
              <w:jc w:val="center"/>
              <w:rPr>
                <w:b/>
                <w:sz w:val="36"/>
                <w:szCs w:val="28"/>
              </w:rPr>
            </w:pPr>
          </w:p>
          <w:p w14:paraId="640C2E32" w14:textId="0AAAF357" w:rsidR="00621A25" w:rsidRPr="006856DA" w:rsidRDefault="003117F4" w:rsidP="003117F4">
            <w:pPr>
              <w:ind w:left="720" w:right="612"/>
              <w:jc w:val="center"/>
              <w:rPr>
                <w:b/>
                <w:i/>
                <w:sz w:val="32"/>
                <w:szCs w:val="28"/>
              </w:rPr>
            </w:pPr>
            <w:r>
              <w:rPr>
                <w:b/>
                <w:i/>
                <w:sz w:val="32"/>
                <w:szCs w:val="28"/>
              </w:rPr>
              <w:t>September 15, 2014</w:t>
            </w:r>
          </w:p>
          <w:p w14:paraId="640C2E33" w14:textId="77777777" w:rsidR="00621A25" w:rsidRPr="000A44FF" w:rsidRDefault="00621A25" w:rsidP="00621A25">
            <w:pPr>
              <w:rPr>
                <w:szCs w:val="22"/>
              </w:rPr>
            </w:pPr>
          </w:p>
          <w:p w14:paraId="640C2E34" w14:textId="77777777" w:rsidR="00621A25" w:rsidRPr="000A44FF" w:rsidRDefault="00621A25" w:rsidP="00621A25">
            <w:pPr>
              <w:rPr>
                <w:szCs w:val="22"/>
              </w:rPr>
            </w:pPr>
          </w:p>
          <w:p w14:paraId="640C2E35" w14:textId="77777777" w:rsidR="00621A25" w:rsidRPr="000A44FF" w:rsidRDefault="00621A25" w:rsidP="00621A25">
            <w:pPr>
              <w:rPr>
                <w:szCs w:val="22"/>
              </w:rPr>
            </w:pPr>
          </w:p>
          <w:p w14:paraId="640C2E36" w14:textId="77777777" w:rsidR="00621A25" w:rsidRPr="000A44FF" w:rsidRDefault="00621A25" w:rsidP="00621A25">
            <w:pPr>
              <w:rPr>
                <w:szCs w:val="22"/>
              </w:rPr>
            </w:pPr>
          </w:p>
          <w:p w14:paraId="640C2E37" w14:textId="77777777" w:rsidR="00621A25" w:rsidRPr="000A44FF" w:rsidRDefault="00621A25" w:rsidP="00621A25">
            <w:pPr>
              <w:rPr>
                <w:szCs w:val="22"/>
              </w:rPr>
            </w:pPr>
          </w:p>
          <w:p w14:paraId="640C2E38" w14:textId="77777777" w:rsidR="00621A25" w:rsidRPr="000A44FF" w:rsidRDefault="00621A25" w:rsidP="00621A25">
            <w:pPr>
              <w:rPr>
                <w:szCs w:val="22"/>
              </w:rPr>
            </w:pPr>
          </w:p>
          <w:p w14:paraId="640C2E39" w14:textId="77777777" w:rsidR="00621A25" w:rsidRPr="000A44FF" w:rsidRDefault="00621A25" w:rsidP="00621A25">
            <w:pPr>
              <w:rPr>
                <w:szCs w:val="22"/>
              </w:rPr>
            </w:pPr>
          </w:p>
          <w:p w14:paraId="640C2E3A" w14:textId="77777777" w:rsidR="00621A25" w:rsidRPr="000A44FF" w:rsidRDefault="00621A25" w:rsidP="00621A25">
            <w:pPr>
              <w:rPr>
                <w:szCs w:val="22"/>
              </w:rPr>
            </w:pPr>
          </w:p>
          <w:p w14:paraId="640C2E3B" w14:textId="77777777" w:rsidR="00621A25" w:rsidRPr="000A44FF" w:rsidRDefault="00621A25" w:rsidP="00621A25">
            <w:pPr>
              <w:rPr>
                <w:szCs w:val="22"/>
              </w:rPr>
            </w:pPr>
          </w:p>
          <w:p w14:paraId="640C2E3C" w14:textId="77777777" w:rsidR="00621A25" w:rsidRPr="000A44FF" w:rsidRDefault="00621A25" w:rsidP="00621A25">
            <w:pPr>
              <w:rPr>
                <w:szCs w:val="22"/>
              </w:rPr>
            </w:pPr>
          </w:p>
          <w:p w14:paraId="640C2E3D" w14:textId="77777777" w:rsidR="00621A25" w:rsidRDefault="00621A25" w:rsidP="00621A25">
            <w:pPr>
              <w:rPr>
                <w:szCs w:val="22"/>
              </w:rPr>
            </w:pPr>
          </w:p>
          <w:p w14:paraId="640C2E3E" w14:textId="77777777" w:rsidR="00D86378" w:rsidRPr="000A44FF" w:rsidRDefault="00D86378" w:rsidP="00621A25">
            <w:pPr>
              <w:rPr>
                <w:szCs w:val="22"/>
              </w:rPr>
            </w:pPr>
          </w:p>
          <w:p w14:paraId="640C2E3F" w14:textId="77777777" w:rsidR="00621A25" w:rsidRPr="000A44FF" w:rsidRDefault="00621A25" w:rsidP="00621A25">
            <w:pPr>
              <w:rPr>
                <w:szCs w:val="22"/>
              </w:rPr>
            </w:pPr>
          </w:p>
          <w:p w14:paraId="640C2E40" w14:textId="77777777" w:rsidR="00621A25" w:rsidRPr="000A44FF" w:rsidRDefault="00621A25" w:rsidP="00621A25">
            <w:pPr>
              <w:rPr>
                <w:szCs w:val="22"/>
              </w:rPr>
            </w:pPr>
          </w:p>
        </w:tc>
      </w:tr>
      <w:tr w:rsidR="00621A25" w:rsidRPr="000A44FF" w14:paraId="640C2E43" w14:textId="77777777" w:rsidTr="006856DA">
        <w:tc>
          <w:tcPr>
            <w:tcW w:w="10098" w:type="dxa"/>
            <w:gridSpan w:val="3"/>
            <w:shd w:val="clear" w:color="auto" w:fill="DBE5F1" w:themeFill="accent1" w:themeFillTint="33"/>
            <w:vAlign w:val="center"/>
          </w:tcPr>
          <w:p w14:paraId="640C2E42" w14:textId="77777777" w:rsidR="00621A25" w:rsidRPr="000A44FF" w:rsidRDefault="00AD3DE1" w:rsidP="006856DA">
            <w:pPr>
              <w:tabs>
                <w:tab w:val="right" w:pos="9882"/>
              </w:tabs>
              <w:rPr>
                <w:b/>
                <w:szCs w:val="22"/>
              </w:rPr>
            </w:pPr>
            <w:r>
              <w:rPr>
                <w:b/>
                <w:szCs w:val="22"/>
              </w:rPr>
              <w:t xml:space="preserve">SBIR/STTR Interagency Policy </w:t>
            </w:r>
            <w:r w:rsidR="00B301BF">
              <w:rPr>
                <w:b/>
                <w:szCs w:val="22"/>
              </w:rPr>
              <w:t>Committee</w:t>
            </w:r>
            <w:r w:rsidR="00621A25" w:rsidRPr="000A44FF">
              <w:rPr>
                <w:b/>
                <w:szCs w:val="22"/>
              </w:rPr>
              <w:tab/>
              <w:t>www.SBIR.gov</w:t>
            </w:r>
          </w:p>
        </w:tc>
      </w:tr>
    </w:tbl>
    <w:p w14:paraId="640C2E44" w14:textId="77777777" w:rsidR="00621A25" w:rsidRPr="000A44FF" w:rsidRDefault="00621A25" w:rsidP="00621A25">
      <w:pPr>
        <w:rPr>
          <w:szCs w:val="22"/>
        </w:rPr>
      </w:pPr>
    </w:p>
    <w:p w14:paraId="640C2E45" w14:textId="77777777" w:rsidR="00621A25" w:rsidRPr="000A44FF" w:rsidRDefault="00621A25" w:rsidP="00621A25">
      <w:pPr>
        <w:rPr>
          <w:szCs w:val="22"/>
        </w:rPr>
      </w:pPr>
    </w:p>
    <w:p w14:paraId="640C2E46" w14:textId="77777777" w:rsidR="00621A25" w:rsidRPr="000A44FF" w:rsidRDefault="00621A25" w:rsidP="00621A25">
      <w:pPr>
        <w:rPr>
          <w:szCs w:val="22"/>
        </w:rPr>
      </w:pPr>
      <w:r w:rsidRPr="000A44FF">
        <w:rPr>
          <w:szCs w:val="22"/>
        </w:rPr>
        <w:lastRenderedPageBreak/>
        <w:t xml:space="preserve">  </w:t>
      </w:r>
    </w:p>
    <w:p w14:paraId="640C2E47" w14:textId="77777777" w:rsidR="00621A25" w:rsidRPr="000A44FF" w:rsidRDefault="00621A25" w:rsidP="00621A25">
      <w:pPr>
        <w:rPr>
          <w:szCs w:val="22"/>
        </w:rPr>
      </w:pPr>
    </w:p>
    <w:p w14:paraId="640C2E48" w14:textId="77777777" w:rsidR="00621A25" w:rsidRPr="000A44FF" w:rsidRDefault="00621A25" w:rsidP="00621A25">
      <w:pPr>
        <w:jc w:val="center"/>
        <w:rPr>
          <w:i/>
          <w:szCs w:val="22"/>
        </w:rPr>
      </w:pPr>
    </w:p>
    <w:p w14:paraId="640C2E49" w14:textId="77777777" w:rsidR="00621A25" w:rsidRPr="000A44FF" w:rsidRDefault="00621A25" w:rsidP="00621A25">
      <w:pPr>
        <w:jc w:val="center"/>
        <w:rPr>
          <w:i/>
          <w:szCs w:val="22"/>
        </w:rPr>
      </w:pPr>
    </w:p>
    <w:p w14:paraId="640C2E4A" w14:textId="77777777" w:rsidR="00621A25" w:rsidRPr="000A44FF" w:rsidRDefault="00621A25" w:rsidP="00621A25">
      <w:pPr>
        <w:jc w:val="center"/>
        <w:rPr>
          <w:i/>
          <w:szCs w:val="22"/>
        </w:rPr>
      </w:pPr>
    </w:p>
    <w:p w14:paraId="640C2E4B" w14:textId="77777777" w:rsidR="00621A25" w:rsidRPr="000A44FF" w:rsidRDefault="00621A25" w:rsidP="00621A25">
      <w:pPr>
        <w:jc w:val="center"/>
        <w:rPr>
          <w:i/>
          <w:szCs w:val="22"/>
        </w:rPr>
      </w:pPr>
    </w:p>
    <w:p w14:paraId="640C2E4C" w14:textId="77777777" w:rsidR="00621A25" w:rsidRPr="000A44FF" w:rsidRDefault="00621A25" w:rsidP="00621A25">
      <w:pPr>
        <w:jc w:val="center"/>
        <w:rPr>
          <w:i/>
          <w:szCs w:val="22"/>
        </w:rPr>
      </w:pPr>
    </w:p>
    <w:p w14:paraId="640C2E4D" w14:textId="77777777" w:rsidR="00621A25" w:rsidRPr="000A44FF" w:rsidRDefault="00621A25" w:rsidP="00621A25">
      <w:pPr>
        <w:jc w:val="center"/>
        <w:rPr>
          <w:i/>
          <w:szCs w:val="22"/>
        </w:rPr>
      </w:pPr>
    </w:p>
    <w:p w14:paraId="640C2E4E" w14:textId="77777777" w:rsidR="00621A25" w:rsidRPr="000A44FF" w:rsidRDefault="00621A25" w:rsidP="00621A25">
      <w:pPr>
        <w:jc w:val="center"/>
        <w:rPr>
          <w:i/>
          <w:szCs w:val="22"/>
        </w:rPr>
      </w:pPr>
    </w:p>
    <w:p w14:paraId="640C2E4F" w14:textId="77777777" w:rsidR="00621A25" w:rsidRPr="000A44FF" w:rsidRDefault="00621A25" w:rsidP="00621A25">
      <w:pPr>
        <w:jc w:val="center"/>
        <w:rPr>
          <w:i/>
          <w:szCs w:val="22"/>
        </w:rPr>
      </w:pPr>
    </w:p>
    <w:p w14:paraId="640C2E50" w14:textId="77777777" w:rsidR="00621A25" w:rsidRDefault="00621A25" w:rsidP="00621A25">
      <w:pPr>
        <w:jc w:val="center"/>
        <w:rPr>
          <w:i/>
          <w:szCs w:val="22"/>
        </w:rPr>
      </w:pPr>
      <w:r w:rsidRPr="000A44FF">
        <w:rPr>
          <w:i/>
          <w:szCs w:val="22"/>
        </w:rPr>
        <w:t>This page is left intentionally blank.</w:t>
      </w:r>
    </w:p>
    <w:p w14:paraId="640C2E51" w14:textId="77777777" w:rsidR="00206F2E" w:rsidRPr="000A44FF" w:rsidRDefault="00206F2E" w:rsidP="00621A25">
      <w:pPr>
        <w:jc w:val="center"/>
        <w:rPr>
          <w:i/>
          <w:szCs w:val="22"/>
        </w:rPr>
      </w:pPr>
    </w:p>
    <w:p w14:paraId="640C2E52" w14:textId="77777777" w:rsidR="00621A25" w:rsidRPr="000A44FF" w:rsidRDefault="00621A25" w:rsidP="00621A25">
      <w:pPr>
        <w:jc w:val="left"/>
        <w:rPr>
          <w:szCs w:val="22"/>
        </w:rPr>
      </w:pPr>
      <w:r w:rsidRPr="000A44FF">
        <w:rPr>
          <w:szCs w:val="22"/>
        </w:rPr>
        <w:br w:type="page"/>
      </w:r>
    </w:p>
    <w:p w14:paraId="640C2E53" w14:textId="77777777" w:rsidR="00621A25" w:rsidRPr="000A44FF" w:rsidRDefault="00621A25" w:rsidP="00621A25">
      <w:pPr>
        <w:rPr>
          <w:szCs w:val="22"/>
        </w:rPr>
      </w:pPr>
    </w:p>
    <w:sdt>
      <w:sdtPr>
        <w:rPr>
          <w:rFonts w:asciiTheme="minorHAnsi" w:eastAsia="Times New Roman" w:hAnsiTheme="minorHAnsi" w:cstheme="minorHAnsi"/>
          <w:b w:val="0"/>
          <w:bCs w:val="0"/>
          <w:color w:val="auto"/>
          <w:sz w:val="22"/>
          <w:szCs w:val="20"/>
          <w:lang w:eastAsia="en-US"/>
        </w:rPr>
        <w:id w:val="839588807"/>
        <w:docPartObj>
          <w:docPartGallery w:val="Table of Contents"/>
          <w:docPartUnique/>
        </w:docPartObj>
      </w:sdtPr>
      <w:sdtEndPr>
        <w:rPr>
          <w:noProof/>
        </w:rPr>
      </w:sdtEndPr>
      <w:sdtContent>
        <w:p w14:paraId="640C2E54" w14:textId="77777777" w:rsidR="00621A25" w:rsidRPr="00B629EF" w:rsidRDefault="00621A25" w:rsidP="00621A25">
          <w:pPr>
            <w:pStyle w:val="TOCHeading"/>
            <w:rPr>
              <w:rFonts w:asciiTheme="minorHAnsi" w:hAnsiTheme="minorHAnsi"/>
            </w:rPr>
          </w:pPr>
          <w:r w:rsidRPr="00B629EF">
            <w:rPr>
              <w:rFonts w:asciiTheme="minorHAnsi" w:hAnsiTheme="minorHAnsi"/>
            </w:rPr>
            <w:t>Contents</w:t>
          </w:r>
        </w:p>
        <w:p w14:paraId="4624695E" w14:textId="77777777" w:rsidR="004C3B23" w:rsidRDefault="00621A25">
          <w:pPr>
            <w:pStyle w:val="TOC1"/>
            <w:rPr>
              <w:rFonts w:eastAsiaTheme="minorEastAsia" w:cstheme="minorBidi"/>
              <w:szCs w:val="22"/>
            </w:rPr>
          </w:pPr>
          <w:r w:rsidRPr="000A44FF">
            <w:fldChar w:fldCharType="begin"/>
          </w:r>
          <w:r w:rsidRPr="000A44FF">
            <w:instrText xml:space="preserve"> TOC \o "1-3" \h \z \u </w:instrText>
          </w:r>
          <w:r w:rsidRPr="000A44FF">
            <w:fldChar w:fldCharType="separate"/>
          </w:r>
          <w:hyperlink w:anchor="_Toc398119179" w:history="1">
            <w:r w:rsidR="004C3B23" w:rsidRPr="000E7A74">
              <w:rPr>
                <w:rStyle w:val="Hyperlink"/>
              </w:rPr>
              <w:t>1.</w:t>
            </w:r>
            <w:r w:rsidR="004C3B23">
              <w:rPr>
                <w:rFonts w:eastAsiaTheme="minorEastAsia" w:cstheme="minorBidi"/>
                <w:szCs w:val="22"/>
              </w:rPr>
              <w:tab/>
            </w:r>
            <w:r w:rsidR="004C3B23" w:rsidRPr="000E7A74">
              <w:rPr>
                <w:rStyle w:val="Hyperlink"/>
              </w:rPr>
              <w:t>Executive Summary</w:t>
            </w:r>
            <w:r w:rsidR="004C3B23">
              <w:rPr>
                <w:webHidden/>
              </w:rPr>
              <w:tab/>
            </w:r>
            <w:r w:rsidR="004C3B23">
              <w:rPr>
                <w:webHidden/>
              </w:rPr>
              <w:fldChar w:fldCharType="begin"/>
            </w:r>
            <w:r w:rsidR="004C3B23">
              <w:rPr>
                <w:webHidden/>
              </w:rPr>
              <w:instrText xml:space="preserve"> PAGEREF _Toc398119179 \h </w:instrText>
            </w:r>
            <w:r w:rsidR="004C3B23">
              <w:rPr>
                <w:webHidden/>
              </w:rPr>
            </w:r>
            <w:r w:rsidR="004C3B23">
              <w:rPr>
                <w:webHidden/>
              </w:rPr>
              <w:fldChar w:fldCharType="separate"/>
            </w:r>
            <w:r w:rsidR="00715501">
              <w:rPr>
                <w:webHidden/>
              </w:rPr>
              <w:t>4</w:t>
            </w:r>
            <w:r w:rsidR="004C3B23">
              <w:rPr>
                <w:webHidden/>
              </w:rPr>
              <w:fldChar w:fldCharType="end"/>
            </w:r>
          </w:hyperlink>
        </w:p>
        <w:p w14:paraId="7DEB1249" w14:textId="77777777" w:rsidR="004C3B23" w:rsidRDefault="00570E3F">
          <w:pPr>
            <w:pStyle w:val="TOC1"/>
            <w:rPr>
              <w:rFonts w:eastAsiaTheme="minorEastAsia" w:cstheme="minorBidi"/>
              <w:szCs w:val="22"/>
            </w:rPr>
          </w:pPr>
          <w:hyperlink w:anchor="_Toc398119180" w:history="1">
            <w:r w:rsidR="004C3B23" w:rsidRPr="000E7A74">
              <w:rPr>
                <w:rStyle w:val="Hyperlink"/>
              </w:rPr>
              <w:t>2.</w:t>
            </w:r>
            <w:r w:rsidR="004C3B23">
              <w:rPr>
                <w:rFonts w:eastAsiaTheme="minorEastAsia" w:cstheme="minorBidi"/>
                <w:szCs w:val="22"/>
              </w:rPr>
              <w:tab/>
            </w:r>
            <w:r w:rsidR="004C3B23" w:rsidRPr="000E7A74">
              <w:rPr>
                <w:rStyle w:val="Hyperlink"/>
              </w:rPr>
              <w:t>Introduction</w:t>
            </w:r>
            <w:r w:rsidR="004C3B23">
              <w:rPr>
                <w:webHidden/>
              </w:rPr>
              <w:tab/>
            </w:r>
            <w:r w:rsidR="004C3B23">
              <w:rPr>
                <w:webHidden/>
              </w:rPr>
              <w:fldChar w:fldCharType="begin"/>
            </w:r>
            <w:r w:rsidR="004C3B23">
              <w:rPr>
                <w:webHidden/>
              </w:rPr>
              <w:instrText xml:space="preserve"> PAGEREF _Toc398119180 \h </w:instrText>
            </w:r>
            <w:r w:rsidR="004C3B23">
              <w:rPr>
                <w:webHidden/>
              </w:rPr>
            </w:r>
            <w:r w:rsidR="004C3B23">
              <w:rPr>
                <w:webHidden/>
              </w:rPr>
              <w:fldChar w:fldCharType="separate"/>
            </w:r>
            <w:r w:rsidR="00715501">
              <w:rPr>
                <w:webHidden/>
              </w:rPr>
              <w:t>5</w:t>
            </w:r>
            <w:r w:rsidR="004C3B23">
              <w:rPr>
                <w:webHidden/>
              </w:rPr>
              <w:fldChar w:fldCharType="end"/>
            </w:r>
          </w:hyperlink>
        </w:p>
        <w:p w14:paraId="3E29843D" w14:textId="77777777" w:rsidR="004C3B23" w:rsidRDefault="00570E3F">
          <w:pPr>
            <w:pStyle w:val="TOC2"/>
            <w:rPr>
              <w:rFonts w:eastAsiaTheme="minorEastAsia" w:cstheme="minorBidi"/>
              <w:szCs w:val="22"/>
            </w:rPr>
          </w:pPr>
          <w:hyperlink w:anchor="_Toc398119181" w:history="1">
            <w:r w:rsidR="004C3B23" w:rsidRPr="000E7A74">
              <w:rPr>
                <w:rStyle w:val="Hyperlink"/>
              </w:rPr>
              <w:t>a.</w:t>
            </w:r>
            <w:r w:rsidR="004C3B23">
              <w:rPr>
                <w:rFonts w:eastAsiaTheme="minorEastAsia" w:cstheme="minorBidi"/>
                <w:szCs w:val="22"/>
              </w:rPr>
              <w:tab/>
            </w:r>
            <w:r w:rsidR="004C3B23" w:rsidRPr="000E7A74">
              <w:rPr>
                <w:rStyle w:val="Hyperlink"/>
              </w:rPr>
              <w:t>Background</w:t>
            </w:r>
            <w:r w:rsidR="004C3B23">
              <w:rPr>
                <w:webHidden/>
              </w:rPr>
              <w:tab/>
            </w:r>
            <w:r w:rsidR="004C3B23">
              <w:rPr>
                <w:webHidden/>
              </w:rPr>
              <w:fldChar w:fldCharType="begin"/>
            </w:r>
            <w:r w:rsidR="004C3B23">
              <w:rPr>
                <w:webHidden/>
              </w:rPr>
              <w:instrText xml:space="preserve"> PAGEREF _Toc398119181 \h </w:instrText>
            </w:r>
            <w:r w:rsidR="004C3B23">
              <w:rPr>
                <w:webHidden/>
              </w:rPr>
            </w:r>
            <w:r w:rsidR="004C3B23">
              <w:rPr>
                <w:webHidden/>
              </w:rPr>
              <w:fldChar w:fldCharType="separate"/>
            </w:r>
            <w:r w:rsidR="00715501">
              <w:rPr>
                <w:webHidden/>
              </w:rPr>
              <w:t>5</w:t>
            </w:r>
            <w:r w:rsidR="004C3B23">
              <w:rPr>
                <w:webHidden/>
              </w:rPr>
              <w:fldChar w:fldCharType="end"/>
            </w:r>
          </w:hyperlink>
        </w:p>
        <w:p w14:paraId="59C2EC74" w14:textId="26FF9164" w:rsidR="004C3B23" w:rsidRDefault="00570E3F">
          <w:pPr>
            <w:pStyle w:val="TOC2"/>
            <w:rPr>
              <w:rFonts w:eastAsiaTheme="minorEastAsia" w:cstheme="minorBidi"/>
              <w:szCs w:val="22"/>
            </w:rPr>
          </w:pPr>
          <w:hyperlink w:anchor="_Toc398119182" w:history="1">
            <w:r w:rsidR="004C3B23" w:rsidRPr="000E7A74">
              <w:rPr>
                <w:rStyle w:val="Hyperlink"/>
              </w:rPr>
              <w:t>b.</w:t>
            </w:r>
            <w:r w:rsidR="004C3B23">
              <w:rPr>
                <w:rFonts w:eastAsiaTheme="minorEastAsia" w:cstheme="minorBidi"/>
                <w:szCs w:val="22"/>
              </w:rPr>
              <w:tab/>
            </w:r>
            <w:r w:rsidR="004C3B23" w:rsidRPr="000E7A74">
              <w:rPr>
                <w:rStyle w:val="Hyperlink"/>
              </w:rPr>
              <w:t>Program Objectives</w:t>
            </w:r>
            <w:r w:rsidR="004C3B23">
              <w:rPr>
                <w:webHidden/>
              </w:rPr>
              <w:tab/>
            </w:r>
            <w:r w:rsidR="004C3B23">
              <w:rPr>
                <w:webHidden/>
              </w:rPr>
              <w:fldChar w:fldCharType="begin"/>
            </w:r>
            <w:r w:rsidR="004C3B23">
              <w:rPr>
                <w:webHidden/>
              </w:rPr>
              <w:instrText xml:space="preserve"> PAGEREF _Toc398119182 \h </w:instrText>
            </w:r>
            <w:r w:rsidR="004C3B23">
              <w:rPr>
                <w:webHidden/>
              </w:rPr>
            </w:r>
            <w:r w:rsidR="004C3B23">
              <w:rPr>
                <w:webHidden/>
              </w:rPr>
              <w:fldChar w:fldCharType="separate"/>
            </w:r>
            <w:r w:rsidR="00715501">
              <w:rPr>
                <w:webHidden/>
              </w:rPr>
              <w:t>5</w:t>
            </w:r>
            <w:r w:rsidR="004C3B23">
              <w:rPr>
                <w:webHidden/>
              </w:rPr>
              <w:fldChar w:fldCharType="end"/>
            </w:r>
          </w:hyperlink>
        </w:p>
        <w:p w14:paraId="25F6053E" w14:textId="35797D8C" w:rsidR="004C3B23" w:rsidRDefault="00570E3F">
          <w:pPr>
            <w:pStyle w:val="TOC2"/>
            <w:rPr>
              <w:rFonts w:eastAsiaTheme="minorEastAsia" w:cstheme="minorBidi"/>
              <w:szCs w:val="22"/>
            </w:rPr>
          </w:pPr>
          <w:hyperlink w:anchor="_Toc398119183" w:history="1">
            <w:r w:rsidR="004C3B23" w:rsidRPr="000E7A74">
              <w:rPr>
                <w:rStyle w:val="Hyperlink"/>
              </w:rPr>
              <w:t>c.</w:t>
            </w:r>
            <w:r w:rsidR="004C3B23">
              <w:rPr>
                <w:rFonts w:eastAsiaTheme="minorEastAsia" w:cstheme="minorBidi"/>
                <w:szCs w:val="22"/>
              </w:rPr>
              <w:tab/>
            </w:r>
            <w:r w:rsidR="004C3B23" w:rsidRPr="000E7A74">
              <w:rPr>
                <w:rStyle w:val="Hyperlink"/>
              </w:rPr>
              <w:t>SBIR/STTR Process</w:t>
            </w:r>
            <w:r w:rsidR="004C3B23">
              <w:rPr>
                <w:webHidden/>
              </w:rPr>
              <w:tab/>
            </w:r>
            <w:r w:rsidR="004C3B23">
              <w:rPr>
                <w:webHidden/>
              </w:rPr>
              <w:fldChar w:fldCharType="begin"/>
            </w:r>
            <w:r w:rsidR="004C3B23">
              <w:rPr>
                <w:webHidden/>
              </w:rPr>
              <w:instrText xml:space="preserve"> PAGEREF _Toc398119183 \h </w:instrText>
            </w:r>
            <w:r w:rsidR="004C3B23">
              <w:rPr>
                <w:webHidden/>
              </w:rPr>
            </w:r>
            <w:r w:rsidR="004C3B23">
              <w:rPr>
                <w:webHidden/>
              </w:rPr>
              <w:fldChar w:fldCharType="separate"/>
            </w:r>
            <w:r w:rsidR="00715501">
              <w:rPr>
                <w:webHidden/>
              </w:rPr>
              <w:t>7</w:t>
            </w:r>
            <w:r w:rsidR="004C3B23">
              <w:rPr>
                <w:webHidden/>
              </w:rPr>
              <w:fldChar w:fldCharType="end"/>
            </w:r>
          </w:hyperlink>
        </w:p>
        <w:p w14:paraId="6A33F2F6" w14:textId="10D243FF" w:rsidR="004C3B23" w:rsidRDefault="00570E3F">
          <w:pPr>
            <w:pStyle w:val="TOC1"/>
            <w:rPr>
              <w:rFonts w:eastAsiaTheme="minorEastAsia" w:cstheme="minorBidi"/>
              <w:szCs w:val="22"/>
            </w:rPr>
          </w:pPr>
          <w:hyperlink w:anchor="_Toc398119184" w:history="1">
            <w:r w:rsidR="004C3B23" w:rsidRPr="000E7A74">
              <w:rPr>
                <w:rStyle w:val="Hyperlink"/>
              </w:rPr>
              <w:t>3.</w:t>
            </w:r>
            <w:r w:rsidR="004C3B23">
              <w:rPr>
                <w:rFonts w:eastAsiaTheme="minorEastAsia" w:cstheme="minorBidi"/>
                <w:szCs w:val="22"/>
              </w:rPr>
              <w:tab/>
            </w:r>
            <w:r w:rsidR="004C3B23" w:rsidRPr="000E7A74">
              <w:rPr>
                <w:rStyle w:val="Hyperlink"/>
              </w:rPr>
              <w:t>Discussion</w:t>
            </w:r>
            <w:r w:rsidR="004C3B23">
              <w:rPr>
                <w:webHidden/>
              </w:rPr>
              <w:tab/>
            </w:r>
            <w:r w:rsidR="004C3B23">
              <w:rPr>
                <w:webHidden/>
              </w:rPr>
              <w:fldChar w:fldCharType="begin"/>
            </w:r>
            <w:r w:rsidR="004C3B23">
              <w:rPr>
                <w:webHidden/>
              </w:rPr>
              <w:instrText xml:space="preserve"> PAGEREF _Toc398119184 \h </w:instrText>
            </w:r>
            <w:r w:rsidR="004C3B23">
              <w:rPr>
                <w:webHidden/>
              </w:rPr>
            </w:r>
            <w:r w:rsidR="004C3B23">
              <w:rPr>
                <w:webHidden/>
              </w:rPr>
              <w:fldChar w:fldCharType="separate"/>
            </w:r>
            <w:r w:rsidR="00715501">
              <w:rPr>
                <w:webHidden/>
              </w:rPr>
              <w:t>8</w:t>
            </w:r>
            <w:r w:rsidR="004C3B23">
              <w:rPr>
                <w:webHidden/>
              </w:rPr>
              <w:fldChar w:fldCharType="end"/>
            </w:r>
          </w:hyperlink>
        </w:p>
        <w:p w14:paraId="65FCC698" w14:textId="6D8742D5" w:rsidR="004C3B23" w:rsidRDefault="00570E3F">
          <w:pPr>
            <w:pStyle w:val="TOC2"/>
            <w:rPr>
              <w:rFonts w:eastAsiaTheme="minorEastAsia" w:cstheme="minorBidi"/>
              <w:szCs w:val="22"/>
            </w:rPr>
          </w:pPr>
          <w:hyperlink w:anchor="_Toc398119185" w:history="1">
            <w:r w:rsidR="004C3B23" w:rsidRPr="000E7A74">
              <w:rPr>
                <w:rStyle w:val="Hyperlink"/>
              </w:rPr>
              <w:t>a.</w:t>
            </w:r>
            <w:r w:rsidR="004C3B23">
              <w:rPr>
                <w:rFonts w:eastAsiaTheme="minorEastAsia" w:cstheme="minorBidi"/>
                <w:szCs w:val="22"/>
              </w:rPr>
              <w:tab/>
            </w:r>
            <w:r w:rsidR="004C3B23" w:rsidRPr="000E7A74">
              <w:rPr>
                <w:rStyle w:val="Hyperlink"/>
              </w:rPr>
              <w:t>SBIR/STTR Program Evaluation Framework</w:t>
            </w:r>
            <w:r w:rsidR="004C3B23">
              <w:rPr>
                <w:webHidden/>
              </w:rPr>
              <w:tab/>
            </w:r>
            <w:r w:rsidR="004C3B23">
              <w:rPr>
                <w:webHidden/>
              </w:rPr>
              <w:fldChar w:fldCharType="begin"/>
            </w:r>
            <w:r w:rsidR="004C3B23">
              <w:rPr>
                <w:webHidden/>
              </w:rPr>
              <w:instrText xml:space="preserve"> PAGEREF _Toc398119185 \h </w:instrText>
            </w:r>
            <w:r w:rsidR="004C3B23">
              <w:rPr>
                <w:webHidden/>
              </w:rPr>
            </w:r>
            <w:r w:rsidR="004C3B23">
              <w:rPr>
                <w:webHidden/>
              </w:rPr>
              <w:fldChar w:fldCharType="separate"/>
            </w:r>
            <w:r w:rsidR="00715501">
              <w:rPr>
                <w:webHidden/>
              </w:rPr>
              <w:t>8</w:t>
            </w:r>
            <w:r w:rsidR="004C3B23">
              <w:rPr>
                <w:webHidden/>
              </w:rPr>
              <w:fldChar w:fldCharType="end"/>
            </w:r>
          </w:hyperlink>
        </w:p>
        <w:p w14:paraId="2D5B9F65" w14:textId="791BE43B" w:rsidR="004C3B23" w:rsidRDefault="00570E3F">
          <w:pPr>
            <w:pStyle w:val="TOC2"/>
            <w:rPr>
              <w:rFonts w:eastAsiaTheme="minorEastAsia" w:cstheme="minorBidi"/>
              <w:szCs w:val="22"/>
            </w:rPr>
          </w:pPr>
          <w:hyperlink w:anchor="_Toc398119186" w:history="1">
            <w:r w:rsidR="004C3B23" w:rsidRPr="000E7A74">
              <w:rPr>
                <w:rStyle w:val="Hyperlink"/>
              </w:rPr>
              <w:t>b.</w:t>
            </w:r>
            <w:r w:rsidR="004C3B23">
              <w:rPr>
                <w:rFonts w:eastAsiaTheme="minorEastAsia" w:cstheme="minorBidi"/>
                <w:szCs w:val="22"/>
              </w:rPr>
              <w:tab/>
            </w:r>
            <w:r w:rsidR="004C3B23" w:rsidRPr="000E7A74">
              <w:rPr>
                <w:rStyle w:val="Hyperlink"/>
              </w:rPr>
              <w:t>SBIR/STTR Evaluation Metrics and Standards</w:t>
            </w:r>
            <w:r w:rsidR="004C3B23">
              <w:rPr>
                <w:webHidden/>
              </w:rPr>
              <w:tab/>
            </w:r>
            <w:r w:rsidR="004C3B23">
              <w:rPr>
                <w:webHidden/>
              </w:rPr>
              <w:fldChar w:fldCharType="begin"/>
            </w:r>
            <w:r w:rsidR="004C3B23">
              <w:rPr>
                <w:webHidden/>
              </w:rPr>
              <w:instrText xml:space="preserve"> PAGEREF _Toc398119186 \h </w:instrText>
            </w:r>
            <w:r w:rsidR="004C3B23">
              <w:rPr>
                <w:webHidden/>
              </w:rPr>
            </w:r>
            <w:r w:rsidR="004C3B23">
              <w:rPr>
                <w:webHidden/>
              </w:rPr>
              <w:fldChar w:fldCharType="separate"/>
            </w:r>
            <w:r w:rsidR="00715501">
              <w:rPr>
                <w:webHidden/>
              </w:rPr>
              <w:t>9</w:t>
            </w:r>
            <w:r w:rsidR="004C3B23">
              <w:rPr>
                <w:webHidden/>
              </w:rPr>
              <w:fldChar w:fldCharType="end"/>
            </w:r>
          </w:hyperlink>
        </w:p>
        <w:p w14:paraId="2EFEA7EE" w14:textId="3E0F9934" w:rsidR="004C3B23" w:rsidRDefault="00570E3F">
          <w:pPr>
            <w:pStyle w:val="TOC1"/>
            <w:rPr>
              <w:rFonts w:eastAsiaTheme="minorEastAsia" w:cstheme="minorBidi"/>
              <w:szCs w:val="22"/>
            </w:rPr>
          </w:pPr>
          <w:hyperlink w:anchor="_Toc398119187" w:history="1">
            <w:r w:rsidR="004C3B23" w:rsidRPr="000E7A74">
              <w:rPr>
                <w:rStyle w:val="Hyperlink"/>
              </w:rPr>
              <w:t>4.</w:t>
            </w:r>
            <w:r w:rsidR="004C3B23">
              <w:rPr>
                <w:rFonts w:eastAsiaTheme="minorEastAsia" w:cstheme="minorBidi"/>
                <w:szCs w:val="22"/>
              </w:rPr>
              <w:tab/>
            </w:r>
            <w:r w:rsidR="004C3B23" w:rsidRPr="000E7A74">
              <w:rPr>
                <w:rStyle w:val="Hyperlink"/>
              </w:rPr>
              <w:t>Recommendations / Next Steps</w:t>
            </w:r>
            <w:r w:rsidR="004C3B23">
              <w:rPr>
                <w:webHidden/>
              </w:rPr>
              <w:tab/>
            </w:r>
            <w:r w:rsidR="004C3B23">
              <w:rPr>
                <w:webHidden/>
              </w:rPr>
              <w:fldChar w:fldCharType="begin"/>
            </w:r>
            <w:r w:rsidR="004C3B23">
              <w:rPr>
                <w:webHidden/>
              </w:rPr>
              <w:instrText xml:space="preserve"> PAGEREF _Toc398119187 \h </w:instrText>
            </w:r>
            <w:r w:rsidR="004C3B23">
              <w:rPr>
                <w:webHidden/>
              </w:rPr>
            </w:r>
            <w:r w:rsidR="004C3B23">
              <w:rPr>
                <w:webHidden/>
              </w:rPr>
              <w:fldChar w:fldCharType="separate"/>
            </w:r>
            <w:r w:rsidR="00715501">
              <w:rPr>
                <w:webHidden/>
              </w:rPr>
              <w:t>11</w:t>
            </w:r>
            <w:r w:rsidR="004C3B23">
              <w:rPr>
                <w:webHidden/>
              </w:rPr>
              <w:fldChar w:fldCharType="end"/>
            </w:r>
          </w:hyperlink>
        </w:p>
        <w:p w14:paraId="7A7D1ED0" w14:textId="77753DC6" w:rsidR="004C3B23" w:rsidRDefault="00570E3F">
          <w:pPr>
            <w:pStyle w:val="TOC1"/>
            <w:rPr>
              <w:rFonts w:eastAsiaTheme="minorEastAsia" w:cstheme="minorBidi"/>
              <w:szCs w:val="22"/>
            </w:rPr>
          </w:pPr>
          <w:hyperlink w:anchor="_Toc398119188" w:history="1">
            <w:r w:rsidR="004C3B23" w:rsidRPr="000E7A74">
              <w:rPr>
                <w:rStyle w:val="Hyperlink"/>
              </w:rPr>
              <w:t>Appendix A – Proposed Evaluation Criteria</w:t>
            </w:r>
            <w:r w:rsidR="004C3B23">
              <w:rPr>
                <w:webHidden/>
              </w:rPr>
              <w:tab/>
            </w:r>
            <w:r w:rsidR="004C3B23">
              <w:rPr>
                <w:webHidden/>
              </w:rPr>
              <w:fldChar w:fldCharType="begin"/>
            </w:r>
            <w:r w:rsidR="004C3B23">
              <w:rPr>
                <w:webHidden/>
              </w:rPr>
              <w:instrText xml:space="preserve"> PAGEREF _Toc398119188 \h </w:instrText>
            </w:r>
            <w:r w:rsidR="004C3B23">
              <w:rPr>
                <w:webHidden/>
              </w:rPr>
            </w:r>
            <w:r w:rsidR="004C3B23">
              <w:rPr>
                <w:webHidden/>
              </w:rPr>
              <w:fldChar w:fldCharType="separate"/>
            </w:r>
            <w:r w:rsidR="00715501">
              <w:rPr>
                <w:webHidden/>
              </w:rPr>
              <w:t>12</w:t>
            </w:r>
            <w:r w:rsidR="004C3B23">
              <w:rPr>
                <w:webHidden/>
              </w:rPr>
              <w:fldChar w:fldCharType="end"/>
            </w:r>
          </w:hyperlink>
        </w:p>
        <w:p w14:paraId="2D140B19" w14:textId="67CFC59F" w:rsidR="004C3B23" w:rsidRDefault="00570E3F">
          <w:pPr>
            <w:pStyle w:val="TOC2"/>
            <w:rPr>
              <w:rFonts w:eastAsiaTheme="minorEastAsia" w:cstheme="minorBidi"/>
              <w:szCs w:val="22"/>
            </w:rPr>
          </w:pPr>
          <w:hyperlink w:anchor="_Toc398119189" w:history="1">
            <w:r w:rsidR="004C3B23" w:rsidRPr="000E7A74">
              <w:rPr>
                <w:rStyle w:val="Hyperlink"/>
              </w:rPr>
              <w:t>a.</w:t>
            </w:r>
            <w:r w:rsidR="004C3B23">
              <w:rPr>
                <w:rFonts w:eastAsiaTheme="minorEastAsia" w:cstheme="minorBidi"/>
                <w:szCs w:val="22"/>
              </w:rPr>
              <w:tab/>
            </w:r>
            <w:r w:rsidR="004C3B23" w:rsidRPr="000E7A74">
              <w:rPr>
                <w:rStyle w:val="Hyperlink"/>
              </w:rPr>
              <w:t>Outreach</w:t>
            </w:r>
            <w:r w:rsidR="004C3B23">
              <w:rPr>
                <w:webHidden/>
              </w:rPr>
              <w:tab/>
            </w:r>
            <w:r w:rsidR="004C3B23">
              <w:rPr>
                <w:webHidden/>
              </w:rPr>
              <w:fldChar w:fldCharType="begin"/>
            </w:r>
            <w:r w:rsidR="004C3B23">
              <w:rPr>
                <w:webHidden/>
              </w:rPr>
              <w:instrText xml:space="preserve"> PAGEREF _Toc398119189 \h </w:instrText>
            </w:r>
            <w:r w:rsidR="004C3B23">
              <w:rPr>
                <w:webHidden/>
              </w:rPr>
            </w:r>
            <w:r w:rsidR="004C3B23">
              <w:rPr>
                <w:webHidden/>
              </w:rPr>
              <w:fldChar w:fldCharType="separate"/>
            </w:r>
            <w:r w:rsidR="00715501">
              <w:rPr>
                <w:webHidden/>
              </w:rPr>
              <w:t>12</w:t>
            </w:r>
            <w:r w:rsidR="004C3B23">
              <w:rPr>
                <w:webHidden/>
              </w:rPr>
              <w:fldChar w:fldCharType="end"/>
            </w:r>
          </w:hyperlink>
        </w:p>
        <w:p w14:paraId="74FA8962" w14:textId="28DD45CC" w:rsidR="004C3B23" w:rsidRDefault="00570E3F">
          <w:pPr>
            <w:pStyle w:val="TOC2"/>
            <w:rPr>
              <w:rFonts w:eastAsiaTheme="minorEastAsia" w:cstheme="minorBidi"/>
              <w:szCs w:val="22"/>
            </w:rPr>
          </w:pPr>
          <w:hyperlink w:anchor="_Toc398119190" w:history="1">
            <w:r w:rsidR="004C3B23" w:rsidRPr="000E7A74">
              <w:rPr>
                <w:rStyle w:val="Hyperlink"/>
              </w:rPr>
              <w:t>b.</w:t>
            </w:r>
            <w:r w:rsidR="004C3B23">
              <w:rPr>
                <w:rFonts w:eastAsiaTheme="minorEastAsia" w:cstheme="minorBidi"/>
                <w:szCs w:val="22"/>
              </w:rPr>
              <w:tab/>
            </w:r>
            <w:r w:rsidR="004C3B23" w:rsidRPr="000E7A74">
              <w:rPr>
                <w:rStyle w:val="Hyperlink"/>
              </w:rPr>
              <w:t>Compliance and Efficiency</w:t>
            </w:r>
            <w:r w:rsidR="004C3B23">
              <w:rPr>
                <w:webHidden/>
              </w:rPr>
              <w:tab/>
            </w:r>
            <w:r w:rsidR="004C3B23">
              <w:rPr>
                <w:webHidden/>
              </w:rPr>
              <w:fldChar w:fldCharType="begin"/>
            </w:r>
            <w:r w:rsidR="004C3B23">
              <w:rPr>
                <w:webHidden/>
              </w:rPr>
              <w:instrText xml:space="preserve"> PAGEREF _Toc398119190 \h </w:instrText>
            </w:r>
            <w:r w:rsidR="004C3B23">
              <w:rPr>
                <w:webHidden/>
              </w:rPr>
            </w:r>
            <w:r w:rsidR="004C3B23">
              <w:rPr>
                <w:webHidden/>
              </w:rPr>
              <w:fldChar w:fldCharType="separate"/>
            </w:r>
            <w:r w:rsidR="00715501">
              <w:rPr>
                <w:webHidden/>
              </w:rPr>
              <w:t>14</w:t>
            </w:r>
            <w:r w:rsidR="004C3B23">
              <w:rPr>
                <w:webHidden/>
              </w:rPr>
              <w:fldChar w:fldCharType="end"/>
            </w:r>
          </w:hyperlink>
        </w:p>
        <w:p w14:paraId="4A75637F" w14:textId="4BCB5F34" w:rsidR="004C3B23" w:rsidRDefault="00570E3F">
          <w:pPr>
            <w:pStyle w:val="TOC2"/>
            <w:rPr>
              <w:rFonts w:eastAsiaTheme="minorEastAsia" w:cstheme="minorBidi"/>
              <w:szCs w:val="22"/>
            </w:rPr>
          </w:pPr>
          <w:hyperlink w:anchor="_Toc398119191" w:history="1">
            <w:r w:rsidR="004C3B23" w:rsidRPr="000E7A74">
              <w:rPr>
                <w:rStyle w:val="Hyperlink"/>
              </w:rPr>
              <w:t>c.</w:t>
            </w:r>
            <w:r w:rsidR="004C3B23">
              <w:rPr>
                <w:rFonts w:eastAsiaTheme="minorEastAsia" w:cstheme="minorBidi"/>
                <w:szCs w:val="22"/>
              </w:rPr>
              <w:tab/>
            </w:r>
            <w:r w:rsidR="004C3B23" w:rsidRPr="000E7A74">
              <w:rPr>
                <w:rStyle w:val="Hyperlink"/>
              </w:rPr>
              <w:t>Commercialization and Other Economic Considerations</w:t>
            </w:r>
            <w:r w:rsidR="004C3B23">
              <w:rPr>
                <w:webHidden/>
              </w:rPr>
              <w:tab/>
            </w:r>
            <w:r w:rsidR="004C3B23">
              <w:rPr>
                <w:webHidden/>
              </w:rPr>
              <w:fldChar w:fldCharType="begin"/>
            </w:r>
            <w:r w:rsidR="004C3B23">
              <w:rPr>
                <w:webHidden/>
              </w:rPr>
              <w:instrText xml:space="preserve"> PAGEREF _Toc398119191 \h </w:instrText>
            </w:r>
            <w:r w:rsidR="004C3B23">
              <w:rPr>
                <w:webHidden/>
              </w:rPr>
            </w:r>
            <w:r w:rsidR="004C3B23">
              <w:rPr>
                <w:webHidden/>
              </w:rPr>
              <w:fldChar w:fldCharType="separate"/>
            </w:r>
            <w:r w:rsidR="00715501">
              <w:rPr>
                <w:webHidden/>
              </w:rPr>
              <w:t>16</w:t>
            </w:r>
            <w:r w:rsidR="004C3B23">
              <w:rPr>
                <w:webHidden/>
              </w:rPr>
              <w:fldChar w:fldCharType="end"/>
            </w:r>
          </w:hyperlink>
        </w:p>
        <w:p w14:paraId="640C2E62" w14:textId="77777777" w:rsidR="00621A25" w:rsidRPr="000A44FF" w:rsidRDefault="00621A25" w:rsidP="00621A25">
          <w:r w:rsidRPr="000A44FF">
            <w:rPr>
              <w:b/>
              <w:bCs/>
              <w:noProof/>
            </w:rPr>
            <w:fldChar w:fldCharType="end"/>
          </w:r>
        </w:p>
      </w:sdtContent>
    </w:sdt>
    <w:p w14:paraId="640C2E63" w14:textId="77777777" w:rsidR="00621A25" w:rsidRPr="000A44FF" w:rsidRDefault="00621A25" w:rsidP="00621A25">
      <w:pPr>
        <w:rPr>
          <w:szCs w:val="22"/>
        </w:rPr>
      </w:pPr>
    </w:p>
    <w:p w14:paraId="640C2E64" w14:textId="77777777" w:rsidR="003E735E" w:rsidRDefault="003E735E">
      <w:pPr>
        <w:jc w:val="left"/>
        <w:rPr>
          <w:b/>
          <w:szCs w:val="22"/>
          <w:u w:val="single"/>
        </w:rPr>
      </w:pPr>
      <w:r>
        <w:rPr>
          <w:b/>
          <w:szCs w:val="22"/>
          <w:u w:val="single"/>
        </w:rPr>
        <w:br w:type="page"/>
      </w:r>
    </w:p>
    <w:p w14:paraId="640C2E66" w14:textId="77777777" w:rsidR="00C102B9" w:rsidRPr="00B629EF" w:rsidRDefault="00C102B9" w:rsidP="00621A25">
      <w:pPr>
        <w:pStyle w:val="Heading1"/>
        <w:rPr>
          <w:rFonts w:asciiTheme="minorHAnsi" w:hAnsiTheme="minorHAnsi"/>
        </w:rPr>
      </w:pPr>
      <w:bookmarkStart w:id="1" w:name="_Toc391044049"/>
      <w:bookmarkStart w:id="2" w:name="_Toc398119179"/>
      <w:r w:rsidRPr="00B629EF">
        <w:rPr>
          <w:rFonts w:asciiTheme="minorHAnsi" w:hAnsiTheme="minorHAnsi"/>
        </w:rPr>
        <w:lastRenderedPageBreak/>
        <w:t>Executive Summary</w:t>
      </w:r>
      <w:bookmarkEnd w:id="1"/>
      <w:bookmarkEnd w:id="2"/>
    </w:p>
    <w:p w14:paraId="640C2E67" w14:textId="77777777" w:rsidR="00C102B9" w:rsidRPr="003117F4" w:rsidRDefault="00C102B9" w:rsidP="00C102B9">
      <w:pPr>
        <w:rPr>
          <w:sz w:val="16"/>
          <w:szCs w:val="16"/>
        </w:rPr>
      </w:pPr>
    </w:p>
    <w:p w14:paraId="640C2E68" w14:textId="044E647C" w:rsidR="00C102B9" w:rsidRDefault="00D04657" w:rsidP="003117F4">
      <w:r w:rsidRPr="00D04657">
        <w:rPr>
          <w:b/>
          <w:color w:val="0070C0"/>
          <w:u w:val="single"/>
        </w:rPr>
        <w:t>Purpose</w:t>
      </w:r>
      <w:r w:rsidR="005A48DA">
        <w:t xml:space="preserve">. </w:t>
      </w:r>
      <w:r w:rsidR="00C246B6">
        <w:t>T</w:t>
      </w:r>
      <w:r w:rsidR="00954EB7">
        <w:t xml:space="preserve">he Small Business Innovation Research (SBIR) / Small Business Technology Transfer (STTR) </w:t>
      </w:r>
      <w:r w:rsidR="00954EB7" w:rsidRPr="00E404B1">
        <w:t>Reauthorization Act of 2011</w:t>
      </w:r>
      <w:r w:rsidR="00954EB7">
        <w:t xml:space="preserve"> (Reauthorization Act), </w:t>
      </w:r>
      <w:r w:rsidRPr="000A44FF">
        <w:rPr>
          <w:szCs w:val="22"/>
        </w:rPr>
        <w:t xml:space="preserve">which was included in the </w:t>
      </w:r>
      <w:r w:rsidRPr="00640199">
        <w:t>2012 Defense Authorization Act (</w:t>
      </w:r>
      <w:r w:rsidR="00231DD8" w:rsidRPr="00231DD8">
        <w:t>P.L. 112-81</w:t>
      </w:r>
      <w:r w:rsidRPr="00640199">
        <w:t>)</w:t>
      </w:r>
      <w:r w:rsidR="00231DD8">
        <w:t xml:space="preserve"> signed into law on December</w:t>
      </w:r>
      <w:r w:rsidR="00231DD8" w:rsidRPr="00231DD8">
        <w:t xml:space="preserve"> 31, 2011</w:t>
      </w:r>
      <w:r w:rsidR="00C246B6">
        <w:t>,</w:t>
      </w:r>
      <w:r w:rsidR="00231DD8">
        <w:t xml:space="preserve"> </w:t>
      </w:r>
      <w:r w:rsidR="00F12DDB">
        <w:t xml:space="preserve">charges </w:t>
      </w:r>
      <w:r w:rsidR="00954EB7">
        <w:t xml:space="preserve">the Interagency Policy Committee (IPC) </w:t>
      </w:r>
      <w:r w:rsidR="00F12DDB">
        <w:t>with, “Developing and incorporating a standard evaluation framework to enable systematic assessment of SBIR and STTR, including through improved tracking of awards and outcomes and development of performance measures for the SBIR program and STTR program of each Federal agency</w:t>
      </w:r>
      <w:r w:rsidR="00954EB7">
        <w:t>.</w:t>
      </w:r>
      <w:r w:rsidR="00F12DDB">
        <w:t>”</w:t>
      </w:r>
      <w:r w:rsidR="00954EB7">
        <w:t xml:space="preserve">    </w:t>
      </w:r>
    </w:p>
    <w:p w14:paraId="640C2E69" w14:textId="77777777" w:rsidR="00D04657" w:rsidRPr="00715501" w:rsidRDefault="00D04657" w:rsidP="003117F4">
      <w:pPr>
        <w:rPr>
          <w:sz w:val="16"/>
          <w:szCs w:val="16"/>
        </w:rPr>
      </w:pPr>
    </w:p>
    <w:p w14:paraId="640C2E6A" w14:textId="5750DA65" w:rsidR="00D04657" w:rsidRDefault="009374D1" w:rsidP="003117F4">
      <w:r>
        <w:rPr>
          <w:b/>
          <w:color w:val="0070C0"/>
          <w:u w:val="single"/>
        </w:rPr>
        <w:t xml:space="preserve">Key </w:t>
      </w:r>
      <w:r w:rsidR="00962166">
        <w:rPr>
          <w:b/>
          <w:color w:val="0070C0"/>
          <w:u w:val="single"/>
        </w:rPr>
        <w:t>Issues</w:t>
      </w:r>
      <w:r w:rsidR="00984097">
        <w:t xml:space="preserve">.  </w:t>
      </w:r>
      <w:r w:rsidR="00377F32">
        <w:t xml:space="preserve">The </w:t>
      </w:r>
      <w:r>
        <w:t xml:space="preserve">key </w:t>
      </w:r>
      <w:r w:rsidR="00962166">
        <w:t>issues</w:t>
      </w:r>
      <w:r w:rsidR="00377F32">
        <w:t xml:space="preserve"> to be </w:t>
      </w:r>
      <w:r w:rsidR="00962166">
        <w:t>addressed</w:t>
      </w:r>
      <w:r w:rsidR="00377F32">
        <w:t xml:space="preserve"> </w:t>
      </w:r>
      <w:r w:rsidR="00E569E7">
        <w:t>by</w:t>
      </w:r>
      <w:r w:rsidR="00377F32">
        <w:t xml:space="preserve"> the evaluation framework include:</w:t>
      </w:r>
      <w:r w:rsidR="00E569E7">
        <w:t xml:space="preserve"> measuring the level of</w:t>
      </w:r>
      <w:r w:rsidR="00377F32">
        <w:t xml:space="preserve"> outreach</w:t>
      </w:r>
      <w:r w:rsidR="00E569E7">
        <w:t xml:space="preserve"> to </w:t>
      </w:r>
      <w:r w:rsidR="00F12DDB">
        <w:t>small businesses underrepresented in the SBIR/STTR programs</w:t>
      </w:r>
      <w:r w:rsidR="00377F32">
        <w:t xml:space="preserve">; </w:t>
      </w:r>
      <w:r w:rsidR="00E569E7">
        <w:t xml:space="preserve">determining </w:t>
      </w:r>
      <w:r w:rsidR="00231DD8" w:rsidRPr="00231DD8">
        <w:t>Federal agency</w:t>
      </w:r>
      <w:r w:rsidR="00F12DDB">
        <w:t xml:space="preserve"> </w:t>
      </w:r>
      <w:r w:rsidR="00E569E7">
        <w:t>compliance with statutory and policy directive guidance</w:t>
      </w:r>
      <w:r w:rsidR="00377F32">
        <w:t xml:space="preserve">; </w:t>
      </w:r>
      <w:r w:rsidR="00E569E7">
        <w:t>determining whether</w:t>
      </w:r>
      <w:r w:rsidR="00377F32">
        <w:t xml:space="preserve"> </w:t>
      </w:r>
      <w:r w:rsidR="00F12DDB">
        <w:t xml:space="preserve">SBIR/STTR </w:t>
      </w:r>
      <w:r w:rsidR="00231DD8">
        <w:t xml:space="preserve">award </w:t>
      </w:r>
      <w:r w:rsidR="00377F32">
        <w:t>processing time</w:t>
      </w:r>
      <w:r w:rsidR="00231DD8">
        <w:t>line</w:t>
      </w:r>
      <w:r w:rsidR="00377F32">
        <w:t>s</w:t>
      </w:r>
      <w:r w:rsidR="00E569E7">
        <w:t xml:space="preserve"> were reduced</w:t>
      </w:r>
      <w:r w:rsidR="00377F32">
        <w:t xml:space="preserve">; </w:t>
      </w:r>
      <w:r w:rsidR="00962166">
        <w:t xml:space="preserve">improving </w:t>
      </w:r>
      <w:r w:rsidR="00B10DBF">
        <w:t>commercialization</w:t>
      </w:r>
      <w:r w:rsidR="00962166">
        <w:t>; and measuring the</w:t>
      </w:r>
      <w:r w:rsidR="00E569E7">
        <w:t xml:space="preserve"> overall</w:t>
      </w:r>
      <w:r w:rsidR="00962166">
        <w:t xml:space="preserve"> value of the SBIR/STTR programs.</w:t>
      </w:r>
    </w:p>
    <w:p w14:paraId="640C2E6B" w14:textId="77777777" w:rsidR="00984097" w:rsidRPr="00715501" w:rsidRDefault="00984097" w:rsidP="00C102B9">
      <w:pPr>
        <w:rPr>
          <w:sz w:val="16"/>
          <w:szCs w:val="16"/>
        </w:rPr>
      </w:pPr>
    </w:p>
    <w:p w14:paraId="640C2E6D" w14:textId="1F54CA7A" w:rsidR="00984097" w:rsidRDefault="009374D1" w:rsidP="00984097">
      <w:r>
        <w:rPr>
          <w:b/>
          <w:color w:val="0070C0"/>
          <w:u w:val="single"/>
        </w:rPr>
        <w:t xml:space="preserve">Key </w:t>
      </w:r>
      <w:r w:rsidR="00984097" w:rsidRPr="00984097">
        <w:rPr>
          <w:b/>
          <w:color w:val="0070C0"/>
          <w:u w:val="single"/>
        </w:rPr>
        <w:t>Recommendations</w:t>
      </w:r>
      <w:r w:rsidR="00984097">
        <w:t xml:space="preserve">.  </w:t>
      </w:r>
    </w:p>
    <w:p w14:paraId="640C2E6F" w14:textId="5F650635" w:rsidR="00984097" w:rsidRDefault="00E569E7" w:rsidP="00715501">
      <w:pPr>
        <w:pStyle w:val="ListParagraph"/>
        <w:numPr>
          <w:ilvl w:val="0"/>
          <w:numId w:val="9"/>
        </w:numPr>
        <w:ind w:left="360"/>
      </w:pPr>
      <w:r>
        <w:t>It is recommended that the</w:t>
      </w:r>
      <w:r w:rsidR="00984097">
        <w:t xml:space="preserve"> IPC adopt a </w:t>
      </w:r>
      <w:r>
        <w:t>six-</w:t>
      </w:r>
      <w:r w:rsidR="00984097">
        <w:t xml:space="preserve">step evaluation framework as follows:  </w:t>
      </w:r>
    </w:p>
    <w:p w14:paraId="640C2E70" w14:textId="027A6002" w:rsidR="00984097" w:rsidRDefault="00984097" w:rsidP="00715501">
      <w:pPr>
        <w:pStyle w:val="ListParagraph"/>
        <w:numPr>
          <w:ilvl w:val="0"/>
          <w:numId w:val="26"/>
        </w:numPr>
      </w:pPr>
      <w:r>
        <w:t xml:space="preserve">Engage Stakeholders – Completed with the formation of the IPC; </w:t>
      </w:r>
    </w:p>
    <w:p w14:paraId="640C2E71" w14:textId="2BC1D38A" w:rsidR="00984097" w:rsidRDefault="00984097" w:rsidP="00715501">
      <w:pPr>
        <w:pStyle w:val="ListParagraph"/>
        <w:numPr>
          <w:ilvl w:val="0"/>
          <w:numId w:val="26"/>
        </w:numPr>
      </w:pPr>
      <w:r>
        <w:t xml:space="preserve">Describe the Program – Completed with the Reauthorization Act and Policy Directive; </w:t>
      </w:r>
    </w:p>
    <w:p w14:paraId="640C2E72" w14:textId="45DD326C" w:rsidR="00984097" w:rsidRDefault="00984097" w:rsidP="00715501">
      <w:pPr>
        <w:pStyle w:val="ListParagraph"/>
        <w:numPr>
          <w:ilvl w:val="0"/>
          <w:numId w:val="26"/>
        </w:numPr>
      </w:pPr>
      <w:r>
        <w:t xml:space="preserve">Focus the Design – </w:t>
      </w:r>
      <w:r w:rsidR="00695F29">
        <w:t>Completed by adopting the recommendations in this report;</w:t>
      </w:r>
      <w:r>
        <w:t xml:space="preserve"> </w:t>
      </w:r>
    </w:p>
    <w:p w14:paraId="640C2E73" w14:textId="51E4292F" w:rsidR="00984097" w:rsidRDefault="00984097" w:rsidP="00715501">
      <w:pPr>
        <w:pStyle w:val="ListParagraph"/>
        <w:numPr>
          <w:ilvl w:val="0"/>
          <w:numId w:val="26"/>
        </w:numPr>
      </w:pPr>
      <w:r>
        <w:t xml:space="preserve">Gather the Data – Already initiated; </w:t>
      </w:r>
    </w:p>
    <w:p w14:paraId="640C2E74" w14:textId="3994143A" w:rsidR="00984097" w:rsidRDefault="00984097" w:rsidP="00715501">
      <w:pPr>
        <w:pStyle w:val="ListParagraph"/>
        <w:numPr>
          <w:ilvl w:val="0"/>
          <w:numId w:val="26"/>
        </w:numPr>
      </w:pPr>
      <w:r>
        <w:t xml:space="preserve">Draw Conclusions – SBA </w:t>
      </w:r>
      <w:r w:rsidR="00312750">
        <w:t xml:space="preserve">and the five SBIR/STTR agencies </w:t>
      </w:r>
      <w:r w:rsidR="00502E2A">
        <w:t xml:space="preserve">with an SBIR Program budget of more than $50,000,000 in fiscal year 1999, </w:t>
      </w:r>
      <w:r w:rsidR="005E5EB6">
        <w:t xml:space="preserve">have </w:t>
      </w:r>
      <w:r>
        <w:t>enter</w:t>
      </w:r>
      <w:r w:rsidR="005E5EB6">
        <w:t>ed</w:t>
      </w:r>
      <w:r>
        <w:t xml:space="preserve"> into a</w:t>
      </w:r>
      <w:r w:rsidR="00312750">
        <w:t>n agreement</w:t>
      </w:r>
      <w:r>
        <w:t xml:space="preserve"> with the National Academy of Science</w:t>
      </w:r>
      <w:r w:rsidR="00502E2A">
        <w:t>s</w:t>
      </w:r>
      <w:r>
        <w:t xml:space="preserve"> (NAS) to </w:t>
      </w:r>
      <w:r w:rsidR="00D16048">
        <w:t xml:space="preserve">conduct an independent </w:t>
      </w:r>
      <w:r>
        <w:t>study</w:t>
      </w:r>
      <w:r w:rsidR="00D16048">
        <w:t xml:space="preserve"> of the</w:t>
      </w:r>
      <w:r>
        <w:t xml:space="preserve"> </w:t>
      </w:r>
      <w:r w:rsidR="00312750">
        <w:t xml:space="preserve">selected elements of </w:t>
      </w:r>
      <w:r>
        <w:t xml:space="preserve">the </w:t>
      </w:r>
      <w:r w:rsidR="009374D1">
        <w:t xml:space="preserve">two </w:t>
      </w:r>
      <w:r>
        <w:t>program</w:t>
      </w:r>
      <w:r w:rsidR="009374D1">
        <w:t>s</w:t>
      </w:r>
      <w:r w:rsidR="00AA62D6">
        <w:t>.</w:t>
      </w:r>
      <w:r w:rsidR="00D16048">
        <w:t>Additionally the agencies through the IPC Fueling Small Business Innovation Working Group, will conduct their own internal series of mini evaluation projects regarding pertinent areas of importance for the SBIR/STTR program</w:t>
      </w:r>
      <w:r w:rsidR="00AA62D6">
        <w:t xml:space="preserve"> in better understanding the efficiency and efficacies of the program</w:t>
      </w:r>
      <w:r w:rsidR="003117F4">
        <w:t>;</w:t>
      </w:r>
      <w:r w:rsidR="00D16048">
        <w:t xml:space="preserve"> </w:t>
      </w:r>
      <w:r>
        <w:t>and</w:t>
      </w:r>
      <w:r w:rsidR="003117F4">
        <w:t>,</w:t>
      </w:r>
      <w:r>
        <w:t xml:space="preserve"> </w:t>
      </w:r>
    </w:p>
    <w:p w14:paraId="640C2E76" w14:textId="151F9981" w:rsidR="00984097" w:rsidRDefault="00984097" w:rsidP="00715501">
      <w:pPr>
        <w:pStyle w:val="ListParagraph"/>
        <w:numPr>
          <w:ilvl w:val="0"/>
          <w:numId w:val="26"/>
        </w:numPr>
      </w:pPr>
      <w:r>
        <w:t xml:space="preserve">Present Findings – These will be presented </w:t>
      </w:r>
      <w:r w:rsidR="00AA62D6">
        <w:t>for review and understanding wherein applicable</w:t>
      </w:r>
      <w:r>
        <w:t xml:space="preserve">.   </w:t>
      </w:r>
    </w:p>
    <w:p w14:paraId="640C2E78" w14:textId="40960BD6" w:rsidR="00984097" w:rsidRDefault="00695F29" w:rsidP="00715501">
      <w:pPr>
        <w:pStyle w:val="ListParagraph"/>
        <w:numPr>
          <w:ilvl w:val="0"/>
          <w:numId w:val="9"/>
        </w:numPr>
        <w:ind w:left="360"/>
      </w:pPr>
      <w:r>
        <w:t xml:space="preserve">The criteria identified in Appendix A </w:t>
      </w:r>
      <w:r w:rsidR="00B33DA5">
        <w:t xml:space="preserve">(shown in the diagram below) </w:t>
      </w:r>
      <w:r>
        <w:t>should be assessed for feasibility and budgetary constraints. If acceptable, changes to the database should be made to collect and automate metrics.</w:t>
      </w:r>
      <w:r w:rsidR="00314AF9">
        <w:t xml:space="preserve">   </w:t>
      </w:r>
    </w:p>
    <w:p w14:paraId="640C2E79" w14:textId="77777777" w:rsidR="002A73BA" w:rsidRPr="002A73BA" w:rsidRDefault="002A73BA" w:rsidP="00984097">
      <w:pPr>
        <w:pBdr>
          <w:top w:val="single" w:sz="4" w:space="1" w:color="auto"/>
          <w:left w:val="single" w:sz="4" w:space="4" w:color="auto"/>
          <w:bottom w:val="single" w:sz="4" w:space="1" w:color="auto"/>
          <w:right w:val="single" w:sz="4" w:space="4" w:color="auto"/>
        </w:pBdr>
        <w:jc w:val="center"/>
        <w:rPr>
          <w:sz w:val="12"/>
        </w:rPr>
      </w:pPr>
    </w:p>
    <w:p w14:paraId="640C2E7A" w14:textId="77777777" w:rsidR="002A73BA" w:rsidRPr="002A73BA" w:rsidRDefault="002A73BA" w:rsidP="00984097">
      <w:pPr>
        <w:pBdr>
          <w:top w:val="single" w:sz="4" w:space="1" w:color="auto"/>
          <w:left w:val="single" w:sz="4" w:space="4" w:color="auto"/>
          <w:bottom w:val="single" w:sz="4" w:space="1" w:color="auto"/>
          <w:right w:val="single" w:sz="4" w:space="4" w:color="auto"/>
        </w:pBdr>
        <w:jc w:val="center"/>
        <w:rPr>
          <w:b/>
        </w:rPr>
      </w:pPr>
      <w:r w:rsidRPr="002A73BA">
        <w:rPr>
          <w:b/>
        </w:rPr>
        <w:t>SBIR / STTR Evaluation Criteria</w:t>
      </w:r>
    </w:p>
    <w:p w14:paraId="640C2E7B" w14:textId="5061D6FC" w:rsidR="00984097" w:rsidRDefault="00695F29" w:rsidP="00984097">
      <w:pPr>
        <w:pBdr>
          <w:top w:val="single" w:sz="4" w:space="1" w:color="auto"/>
          <w:left w:val="single" w:sz="4" w:space="4" w:color="auto"/>
          <w:bottom w:val="single" w:sz="4" w:space="1" w:color="auto"/>
          <w:right w:val="single" w:sz="4" w:space="4" w:color="auto"/>
        </w:pBdr>
        <w:jc w:val="center"/>
      </w:pPr>
      <w:r>
        <w:fldChar w:fldCharType="begin"/>
      </w:r>
      <w:r>
        <w:instrText xml:space="preserve"> LINK Word.Document.12 "\\\\s2k8-hq-fsc1fs\\SBICUSERS\\USERS\\TMJAMERS\\myfiles\\sbir\\IPC Report - Evaluation Framework.docx!OLE_LINK3" "" \a \p </w:instrText>
      </w:r>
      <w:r>
        <w:fldChar w:fldCharType="separate"/>
      </w:r>
      <w:r w:rsidR="00570E3F">
        <w:rPr>
          <w:noProof/>
        </w:rPr>
        <w:drawing>
          <wp:inline distT="0" distB="0" distL="0" distR="0" wp14:anchorId="640C3039" wp14:editId="4633E841">
            <wp:extent cx="5267325" cy="2143125"/>
            <wp:effectExtent l="0" t="0" r="9525" b="9525"/>
            <wp:docPr id="7"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1">
                      <a:extLst>
                        <a:ext uri="{28A0092B-C50C-407E-A947-70E740481C1C}">
                          <a14:useLocalDpi xmlns:a14="http://schemas.microsoft.com/office/drawing/2010/main" val="0"/>
                        </a:ext>
                      </a:extLst>
                    </a:blip>
                    <a:srcRect t="24919" r="1897"/>
                    <a:stretch>
                      <a:fillRect/>
                    </a:stretch>
                  </pic:blipFill>
                  <pic:spPr bwMode="auto">
                    <a:xfrm>
                      <a:off x="0" y="0"/>
                      <a:ext cx="5267325" cy="2143125"/>
                    </a:xfrm>
                    <a:prstGeom prst="rect">
                      <a:avLst/>
                    </a:prstGeom>
                    <a:noFill/>
                    <a:ln>
                      <a:noFill/>
                    </a:ln>
                  </pic:spPr>
                </pic:pic>
              </a:graphicData>
            </a:graphic>
          </wp:inline>
        </w:drawing>
      </w:r>
      <w:r>
        <w:fldChar w:fldCharType="end"/>
      </w:r>
    </w:p>
    <w:p w14:paraId="640C2E7E" w14:textId="77777777" w:rsidR="00621A25" w:rsidRPr="00B629EF" w:rsidRDefault="009C5222" w:rsidP="00621A25">
      <w:pPr>
        <w:pStyle w:val="Heading1"/>
        <w:rPr>
          <w:rFonts w:asciiTheme="minorHAnsi" w:hAnsiTheme="minorHAnsi"/>
        </w:rPr>
      </w:pPr>
      <w:bookmarkStart w:id="3" w:name="_Toc391044050"/>
      <w:bookmarkStart w:id="4" w:name="_Toc398119180"/>
      <w:r w:rsidRPr="00B629EF">
        <w:rPr>
          <w:rFonts w:asciiTheme="minorHAnsi" w:hAnsiTheme="minorHAnsi"/>
        </w:rPr>
        <w:lastRenderedPageBreak/>
        <w:t>Introduction</w:t>
      </w:r>
      <w:bookmarkEnd w:id="3"/>
      <w:bookmarkEnd w:id="4"/>
    </w:p>
    <w:p w14:paraId="640C2E7F" w14:textId="77777777" w:rsidR="00621A25" w:rsidRPr="000A44FF" w:rsidRDefault="00621A25" w:rsidP="00621A25">
      <w:pPr>
        <w:rPr>
          <w:szCs w:val="22"/>
        </w:rPr>
      </w:pPr>
    </w:p>
    <w:p w14:paraId="640C2E80" w14:textId="480D4828" w:rsidR="006856DA" w:rsidRDefault="006856DA" w:rsidP="00715501">
      <w:r w:rsidRPr="00E404B1">
        <w:t xml:space="preserve">The </w:t>
      </w:r>
      <w:r w:rsidR="00206F2E">
        <w:t xml:space="preserve">Small Business Innovation Research (SBIR) / Small Business Technology Transfer (STTR) </w:t>
      </w:r>
      <w:r w:rsidRPr="00E404B1">
        <w:t xml:space="preserve"> Reauthorization Act of 2011</w:t>
      </w:r>
      <w:r w:rsidR="009C5222">
        <w:t xml:space="preserve"> (Reauthorization Act)</w:t>
      </w:r>
      <w:r w:rsidR="00954EB7">
        <w:t>, a d</w:t>
      </w:r>
      <w:r w:rsidRPr="00E404B1">
        <w:t>ivision of the National Defense Authorization Act for Fiscal Year 2012</w:t>
      </w:r>
      <w:r w:rsidR="00F12DDB">
        <w:t xml:space="preserve"> </w:t>
      </w:r>
      <w:r w:rsidR="00F12DDB" w:rsidRPr="00F12DDB">
        <w:t>(P.L. 112-81)</w:t>
      </w:r>
      <w:r w:rsidR="00012492">
        <w:rPr>
          <w:rStyle w:val="FootnoteReference"/>
        </w:rPr>
        <w:footnoteReference w:id="1"/>
      </w:r>
      <w:r w:rsidR="00F12DDB" w:rsidRPr="00F12DDB">
        <w:t xml:space="preserve"> signed into law on December 31, 2011</w:t>
      </w:r>
      <w:r w:rsidRPr="00E404B1">
        <w:t xml:space="preserve">, created the </w:t>
      </w:r>
      <w:r w:rsidR="009C5222" w:rsidRPr="00E404B1">
        <w:t xml:space="preserve">SBIR/STTR </w:t>
      </w:r>
      <w:r w:rsidRPr="00E404B1">
        <w:t>Interagency Policy Committee</w:t>
      </w:r>
      <w:r w:rsidR="005A48DA">
        <w:t xml:space="preserve"> (IPC). </w:t>
      </w:r>
      <w:r w:rsidR="00BA67B1">
        <w:t xml:space="preserve">The IPC </w:t>
      </w:r>
      <w:r w:rsidR="009C5222">
        <w:t>is co-chaired</w:t>
      </w:r>
      <w:r>
        <w:t xml:space="preserve"> by the White House Office of Science and Technology Policy</w:t>
      </w:r>
      <w:r w:rsidR="009C5222">
        <w:t xml:space="preserve"> (OSTP) and the Small Business Administration (SBA</w:t>
      </w:r>
      <w:r w:rsidR="002F7A8C">
        <w:t>) and</w:t>
      </w:r>
      <w:r w:rsidR="009C5222">
        <w:t xml:space="preserve"> </w:t>
      </w:r>
      <w:r w:rsidRPr="00E404B1">
        <w:t xml:space="preserve">includes representatives from Federal agencies </w:t>
      </w:r>
      <w:r w:rsidR="009C5222">
        <w:t>that participate in</w:t>
      </w:r>
      <w:r w:rsidR="00BA67B1">
        <w:t xml:space="preserve"> the SBIR or STTR programs. As part of</w:t>
      </w:r>
      <w:r w:rsidR="009C5222">
        <w:t xml:space="preserve"> the Reauthorization Act</w:t>
      </w:r>
      <w:r w:rsidR="00954EB7">
        <w:t>, the IPC is required to review</w:t>
      </w:r>
      <w:r w:rsidR="009C5222">
        <w:t xml:space="preserve"> </w:t>
      </w:r>
      <w:r w:rsidR="00BA67B1">
        <w:t>certain</w:t>
      </w:r>
      <w:r w:rsidRPr="00E404B1">
        <w:t xml:space="preserve"> issues and make policy recommendations</w:t>
      </w:r>
      <w:r w:rsidR="009C5222">
        <w:t xml:space="preserve"> to Congress</w:t>
      </w:r>
      <w:r w:rsidRPr="00E404B1">
        <w:t xml:space="preserve"> on ways to improve progr</w:t>
      </w:r>
      <w:r w:rsidR="00BA67B1">
        <w:t>am effectiveness and efficiency.</w:t>
      </w:r>
      <w:r w:rsidR="00F041F4">
        <w:t xml:space="preserve">  </w:t>
      </w:r>
    </w:p>
    <w:p w14:paraId="640C2E81" w14:textId="77777777" w:rsidR="00F041F4" w:rsidRDefault="00F041F4" w:rsidP="006856DA"/>
    <w:p w14:paraId="640C2E82" w14:textId="352714DF" w:rsidR="00F041F4" w:rsidRDefault="00F041F4" w:rsidP="00F041F4">
      <w:r>
        <w:t xml:space="preserve">This report reviews the issues regarding </w:t>
      </w:r>
      <w:r w:rsidR="007854CB">
        <w:t xml:space="preserve">the development and implementation of </w:t>
      </w:r>
      <w:r w:rsidRPr="00206F2E">
        <w:t xml:space="preserve">a standard evaluation framework to </w:t>
      </w:r>
      <w:r w:rsidR="007854CB">
        <w:t xml:space="preserve">assess the </w:t>
      </w:r>
      <w:r w:rsidRPr="00206F2E">
        <w:t>SBIR and STTR</w:t>
      </w:r>
      <w:r w:rsidR="007854CB">
        <w:t xml:space="preserve"> programs</w:t>
      </w:r>
      <w:r w:rsidR="002A73BA">
        <w:t>.</w:t>
      </w:r>
    </w:p>
    <w:p w14:paraId="640C2E84" w14:textId="77777777" w:rsidR="002E271E" w:rsidRDefault="002E271E" w:rsidP="002E271E"/>
    <w:p w14:paraId="640C2E85" w14:textId="77777777" w:rsidR="00E456D5" w:rsidRPr="00B629EF" w:rsidRDefault="00E456D5" w:rsidP="00E456D5">
      <w:pPr>
        <w:pStyle w:val="Heading2"/>
        <w:tabs>
          <w:tab w:val="clear" w:pos="1080"/>
        </w:tabs>
        <w:ind w:left="360" w:hanging="360"/>
        <w:rPr>
          <w:rFonts w:asciiTheme="minorHAnsi" w:hAnsiTheme="minorHAnsi"/>
        </w:rPr>
      </w:pPr>
      <w:bookmarkStart w:id="5" w:name="_Toc391044051"/>
      <w:bookmarkStart w:id="6" w:name="_Toc398119181"/>
      <w:r w:rsidRPr="00B629EF">
        <w:rPr>
          <w:rFonts w:asciiTheme="minorHAnsi" w:hAnsiTheme="minorHAnsi"/>
        </w:rPr>
        <w:t>Background</w:t>
      </w:r>
      <w:bookmarkEnd w:id="5"/>
      <w:bookmarkEnd w:id="6"/>
    </w:p>
    <w:p w14:paraId="640C2E87" w14:textId="77777777" w:rsidR="00E456D5" w:rsidRDefault="00E456D5" w:rsidP="00E456D5">
      <w:pPr>
        <w:rPr>
          <w:szCs w:val="22"/>
        </w:rPr>
      </w:pPr>
      <w:r>
        <w:rPr>
          <w:szCs w:val="22"/>
        </w:rPr>
        <w:t xml:space="preserve">Congress established the SBIR program in 1982 and the STTR program ten years later to assist small business concerns </w:t>
      </w:r>
      <w:r w:rsidR="002A73BA">
        <w:rPr>
          <w:szCs w:val="22"/>
        </w:rPr>
        <w:t xml:space="preserve">(SBCs) </w:t>
      </w:r>
      <w:r>
        <w:rPr>
          <w:szCs w:val="22"/>
        </w:rPr>
        <w:t xml:space="preserve">in obtaining Federal research and development </w:t>
      </w:r>
      <w:r w:rsidR="002A73BA">
        <w:rPr>
          <w:szCs w:val="22"/>
        </w:rPr>
        <w:t xml:space="preserve">(R&amp;D) </w:t>
      </w:r>
      <w:r>
        <w:rPr>
          <w:szCs w:val="22"/>
        </w:rPr>
        <w:t>funds to build a strong economy and support technological innovation as discussed below:</w:t>
      </w:r>
    </w:p>
    <w:p w14:paraId="640C2E88" w14:textId="77777777" w:rsidR="00E456D5" w:rsidRDefault="00E456D5" w:rsidP="00E456D5">
      <w:pPr>
        <w:rPr>
          <w:szCs w:val="22"/>
        </w:rPr>
      </w:pPr>
    </w:p>
    <w:p w14:paraId="640C2E89" w14:textId="17E305D3" w:rsidR="00E456D5" w:rsidRPr="000A44FF" w:rsidRDefault="00E456D5" w:rsidP="00CA2DF5">
      <w:pPr>
        <w:pStyle w:val="ListParagraph"/>
        <w:numPr>
          <w:ilvl w:val="0"/>
          <w:numId w:val="2"/>
        </w:numPr>
        <w:rPr>
          <w:rFonts w:asciiTheme="minorHAnsi" w:hAnsiTheme="minorHAnsi" w:cstheme="minorHAnsi"/>
        </w:rPr>
      </w:pPr>
      <w:r w:rsidRPr="000A44FF">
        <w:rPr>
          <w:rFonts w:asciiTheme="minorHAnsi" w:hAnsiTheme="minorHAnsi" w:cstheme="minorHAnsi"/>
          <w:b/>
        </w:rPr>
        <w:t>SBIR</w:t>
      </w:r>
      <w:r w:rsidRPr="000A44FF">
        <w:rPr>
          <w:rFonts w:asciiTheme="minorHAnsi" w:hAnsiTheme="minorHAnsi" w:cstheme="minorHAnsi"/>
        </w:rPr>
        <w:t xml:space="preserve">: </w:t>
      </w:r>
      <w:r w:rsidR="007854CB">
        <w:rPr>
          <w:rFonts w:asciiTheme="minorHAnsi" w:hAnsiTheme="minorHAnsi" w:cstheme="minorHAnsi"/>
        </w:rPr>
        <w:t>The SBIR program r</w:t>
      </w:r>
      <w:r>
        <w:rPr>
          <w:rFonts w:asciiTheme="minorHAnsi" w:hAnsiTheme="minorHAnsi" w:cstheme="minorHAnsi"/>
        </w:rPr>
        <w:t>equires</w:t>
      </w:r>
      <w:r w:rsidRPr="000A44FF">
        <w:rPr>
          <w:rFonts w:asciiTheme="minorHAnsi" w:hAnsiTheme="minorHAnsi" w:cstheme="minorHAnsi"/>
        </w:rPr>
        <w:t xml:space="preserve"> </w:t>
      </w:r>
      <w:r w:rsidR="007854CB">
        <w:rPr>
          <w:rFonts w:asciiTheme="minorHAnsi" w:hAnsiTheme="minorHAnsi" w:cstheme="minorHAnsi"/>
        </w:rPr>
        <w:t>F</w:t>
      </w:r>
      <w:r w:rsidRPr="000A44FF">
        <w:rPr>
          <w:rFonts w:asciiTheme="minorHAnsi" w:hAnsiTheme="minorHAnsi" w:cstheme="minorHAnsi"/>
        </w:rPr>
        <w:t xml:space="preserve">ederal agencies with extramural </w:t>
      </w:r>
      <w:r w:rsidR="007854CB">
        <w:rPr>
          <w:rFonts w:asciiTheme="minorHAnsi" w:hAnsiTheme="minorHAnsi" w:cstheme="minorHAnsi"/>
        </w:rPr>
        <w:t>Federal research or research and development (R/</w:t>
      </w:r>
      <w:r w:rsidRPr="000A44FF">
        <w:rPr>
          <w:rFonts w:asciiTheme="minorHAnsi" w:hAnsiTheme="minorHAnsi" w:cstheme="minorHAnsi"/>
        </w:rPr>
        <w:t>R&amp;D</w:t>
      </w:r>
      <w:r w:rsidR="007854CB">
        <w:rPr>
          <w:rFonts w:asciiTheme="minorHAnsi" w:hAnsiTheme="minorHAnsi" w:cstheme="minorHAnsi"/>
        </w:rPr>
        <w:t>)</w:t>
      </w:r>
      <w:r w:rsidRPr="000A44FF">
        <w:rPr>
          <w:rFonts w:asciiTheme="minorHAnsi" w:hAnsiTheme="minorHAnsi" w:cstheme="minorHAnsi"/>
        </w:rPr>
        <w:t xml:space="preserve"> budgets over $100 million to set aside a percentage of their annual extramural </w:t>
      </w:r>
      <w:r w:rsidR="007854CB">
        <w:rPr>
          <w:rFonts w:asciiTheme="minorHAnsi" w:hAnsiTheme="minorHAnsi" w:cstheme="minorHAnsi"/>
        </w:rPr>
        <w:t>R/</w:t>
      </w:r>
      <w:r w:rsidRPr="000A44FF">
        <w:rPr>
          <w:rFonts w:asciiTheme="minorHAnsi" w:hAnsiTheme="minorHAnsi" w:cstheme="minorHAnsi"/>
        </w:rPr>
        <w:t xml:space="preserve">R&amp;D budget for </w:t>
      </w:r>
      <w:r w:rsidR="007854CB">
        <w:rPr>
          <w:rFonts w:asciiTheme="minorHAnsi" w:hAnsiTheme="minorHAnsi" w:cstheme="minorHAnsi"/>
        </w:rPr>
        <w:t xml:space="preserve">SBIR awards to </w:t>
      </w:r>
      <w:r w:rsidRPr="000A44FF">
        <w:rPr>
          <w:rFonts w:asciiTheme="minorHAnsi" w:hAnsiTheme="minorHAnsi" w:cstheme="minorHAnsi"/>
        </w:rPr>
        <w:t xml:space="preserve">small businesses. </w:t>
      </w:r>
      <w:r w:rsidR="007854CB">
        <w:rPr>
          <w:rFonts w:asciiTheme="minorHAnsi" w:hAnsiTheme="minorHAnsi" w:cstheme="minorHAnsi"/>
        </w:rPr>
        <w:t xml:space="preserve">Prior to Fiscal Year (FY) 2012, agencies that met the budget threshold, were required to spend at least </w:t>
      </w:r>
      <w:r w:rsidRPr="000A44FF">
        <w:rPr>
          <w:rFonts w:asciiTheme="minorHAnsi" w:hAnsiTheme="minorHAnsi" w:cstheme="minorHAnsi"/>
        </w:rPr>
        <w:t xml:space="preserve">2.5% </w:t>
      </w:r>
      <w:r w:rsidR="007854CB">
        <w:rPr>
          <w:rFonts w:asciiTheme="minorHAnsi" w:hAnsiTheme="minorHAnsi" w:cstheme="minorHAnsi"/>
        </w:rPr>
        <w:t xml:space="preserve">of their extramural R/R&amp;D budget on SBIR awards. </w:t>
      </w:r>
      <w:r w:rsidR="00056C5B">
        <w:rPr>
          <w:rFonts w:asciiTheme="minorHAnsi" w:hAnsiTheme="minorHAnsi" w:cstheme="minorHAnsi"/>
        </w:rPr>
        <w:t>This percentage increased to 2.</w:t>
      </w:r>
      <w:r w:rsidR="007854CB">
        <w:rPr>
          <w:rFonts w:asciiTheme="minorHAnsi" w:hAnsiTheme="minorHAnsi" w:cstheme="minorHAnsi"/>
        </w:rPr>
        <w:t xml:space="preserve">6% in FY 2012 </w:t>
      </w:r>
      <w:r>
        <w:rPr>
          <w:rFonts w:asciiTheme="minorHAnsi" w:hAnsiTheme="minorHAnsi" w:cstheme="minorHAnsi"/>
        </w:rPr>
        <w:t xml:space="preserve">and </w:t>
      </w:r>
      <w:r w:rsidRPr="000A44FF">
        <w:rPr>
          <w:rFonts w:asciiTheme="minorHAnsi" w:hAnsiTheme="minorHAnsi" w:cstheme="minorHAnsi"/>
        </w:rPr>
        <w:t xml:space="preserve">will </w:t>
      </w:r>
      <w:r>
        <w:rPr>
          <w:rFonts w:asciiTheme="minorHAnsi" w:hAnsiTheme="minorHAnsi" w:cstheme="minorHAnsi"/>
        </w:rPr>
        <w:t xml:space="preserve">continue to </w:t>
      </w:r>
      <w:r w:rsidRPr="000A44FF">
        <w:rPr>
          <w:rFonts w:asciiTheme="minorHAnsi" w:hAnsiTheme="minorHAnsi" w:cstheme="minorHAnsi"/>
        </w:rPr>
        <w:t xml:space="preserve">increase by </w:t>
      </w:r>
      <w:r w:rsidR="007C428C">
        <w:rPr>
          <w:rFonts w:asciiTheme="minorHAnsi" w:hAnsiTheme="minorHAnsi" w:cstheme="minorHAnsi"/>
        </w:rPr>
        <w:t>0</w:t>
      </w:r>
      <w:r w:rsidRPr="000A44FF">
        <w:rPr>
          <w:rFonts w:asciiTheme="minorHAnsi" w:hAnsiTheme="minorHAnsi" w:cstheme="minorHAnsi"/>
        </w:rPr>
        <w:t xml:space="preserve">.1% each year </w:t>
      </w:r>
      <w:r>
        <w:rPr>
          <w:rFonts w:asciiTheme="minorHAnsi" w:hAnsiTheme="minorHAnsi" w:cstheme="minorHAnsi"/>
        </w:rPr>
        <w:t xml:space="preserve">until it reaches </w:t>
      </w:r>
      <w:r w:rsidR="007C428C">
        <w:rPr>
          <w:rFonts w:asciiTheme="minorHAnsi" w:hAnsiTheme="minorHAnsi" w:cstheme="minorHAnsi"/>
        </w:rPr>
        <w:t xml:space="preserve">a base requirement of </w:t>
      </w:r>
      <w:r>
        <w:rPr>
          <w:rFonts w:asciiTheme="minorHAnsi" w:hAnsiTheme="minorHAnsi" w:cstheme="minorHAnsi"/>
        </w:rPr>
        <w:t>3.2% in</w:t>
      </w:r>
      <w:r w:rsidRPr="000A44FF">
        <w:rPr>
          <w:rFonts w:asciiTheme="minorHAnsi" w:hAnsiTheme="minorHAnsi" w:cstheme="minorHAnsi"/>
        </w:rPr>
        <w:t xml:space="preserve"> FY 2017.  </w:t>
      </w:r>
    </w:p>
    <w:p w14:paraId="640C2E8A" w14:textId="77777777" w:rsidR="00E456D5" w:rsidRPr="000A44FF" w:rsidRDefault="00E456D5" w:rsidP="00E456D5">
      <w:pPr>
        <w:pStyle w:val="ListParagraph"/>
        <w:rPr>
          <w:rFonts w:asciiTheme="minorHAnsi" w:hAnsiTheme="minorHAnsi" w:cstheme="minorHAnsi"/>
        </w:rPr>
      </w:pPr>
    </w:p>
    <w:p w14:paraId="640C2E8B" w14:textId="677D7B22" w:rsidR="00E456D5" w:rsidRPr="00AE65EA" w:rsidRDefault="00E456D5" w:rsidP="00CA2DF5">
      <w:pPr>
        <w:pStyle w:val="ListParagraph"/>
        <w:numPr>
          <w:ilvl w:val="0"/>
          <w:numId w:val="2"/>
        </w:numPr>
      </w:pPr>
      <w:r w:rsidRPr="00AE65EA">
        <w:rPr>
          <w:rFonts w:asciiTheme="minorHAnsi" w:hAnsiTheme="minorHAnsi" w:cstheme="minorHAnsi"/>
          <w:b/>
        </w:rPr>
        <w:t>STTR</w:t>
      </w:r>
      <w:r w:rsidRPr="000A44FF">
        <w:rPr>
          <w:rFonts w:asciiTheme="minorHAnsi" w:hAnsiTheme="minorHAnsi" w:cstheme="minorHAnsi"/>
        </w:rPr>
        <w:t xml:space="preserve">: </w:t>
      </w:r>
      <w:r>
        <w:rPr>
          <w:rFonts w:asciiTheme="minorHAnsi" w:hAnsiTheme="minorHAnsi" w:cstheme="minorHAnsi"/>
        </w:rPr>
        <w:t xml:space="preserve">Modeled after the SBIR program, </w:t>
      </w:r>
      <w:r w:rsidR="00056C5B">
        <w:rPr>
          <w:rFonts w:asciiTheme="minorHAnsi" w:hAnsiTheme="minorHAnsi" w:cstheme="minorHAnsi"/>
        </w:rPr>
        <w:t xml:space="preserve">the </w:t>
      </w:r>
      <w:r>
        <w:rPr>
          <w:rFonts w:asciiTheme="minorHAnsi" w:hAnsiTheme="minorHAnsi" w:cstheme="minorHAnsi"/>
        </w:rPr>
        <w:t>STTR</w:t>
      </w:r>
      <w:r w:rsidR="00056C5B">
        <w:rPr>
          <w:rFonts w:asciiTheme="minorHAnsi" w:hAnsiTheme="minorHAnsi" w:cstheme="minorHAnsi"/>
        </w:rPr>
        <w:t xml:space="preserve"> program</w:t>
      </w:r>
      <w:r>
        <w:rPr>
          <w:rFonts w:asciiTheme="minorHAnsi" w:hAnsiTheme="minorHAnsi" w:cstheme="minorHAnsi"/>
        </w:rPr>
        <w:t xml:space="preserve"> requires </w:t>
      </w:r>
      <w:r w:rsidR="00056C5B">
        <w:rPr>
          <w:rFonts w:asciiTheme="minorHAnsi" w:hAnsiTheme="minorHAnsi" w:cstheme="minorHAnsi"/>
        </w:rPr>
        <w:t>F</w:t>
      </w:r>
      <w:r>
        <w:rPr>
          <w:rFonts w:asciiTheme="minorHAnsi" w:hAnsiTheme="minorHAnsi" w:cstheme="minorHAnsi"/>
        </w:rPr>
        <w:t>ederal agencies with extramural</w:t>
      </w:r>
      <w:r w:rsidR="00056C5B">
        <w:rPr>
          <w:rFonts w:asciiTheme="minorHAnsi" w:hAnsiTheme="minorHAnsi" w:cstheme="minorHAnsi"/>
        </w:rPr>
        <w:t xml:space="preserve"> R/R&amp;D</w:t>
      </w:r>
      <w:r>
        <w:rPr>
          <w:rFonts w:asciiTheme="minorHAnsi" w:hAnsiTheme="minorHAnsi" w:cstheme="minorHAnsi"/>
        </w:rPr>
        <w:t xml:space="preserve"> budgets exceeding $1 billion to set aside a percentage of their annual extramural </w:t>
      </w:r>
      <w:r w:rsidR="00056C5B">
        <w:rPr>
          <w:rFonts w:asciiTheme="minorHAnsi" w:hAnsiTheme="minorHAnsi" w:cstheme="minorHAnsi"/>
        </w:rPr>
        <w:t>R/</w:t>
      </w:r>
      <w:r>
        <w:rPr>
          <w:rFonts w:asciiTheme="minorHAnsi" w:hAnsiTheme="minorHAnsi" w:cstheme="minorHAnsi"/>
        </w:rPr>
        <w:t xml:space="preserve">R&amp;D budget for </w:t>
      </w:r>
      <w:r w:rsidR="00056C5B">
        <w:rPr>
          <w:rFonts w:asciiTheme="minorHAnsi" w:hAnsiTheme="minorHAnsi" w:cstheme="minorHAnsi"/>
        </w:rPr>
        <w:t>small business concerns (</w:t>
      </w:r>
      <w:r>
        <w:rPr>
          <w:rFonts w:asciiTheme="minorHAnsi" w:hAnsiTheme="minorHAnsi" w:cstheme="minorHAnsi"/>
        </w:rPr>
        <w:t>SBCs</w:t>
      </w:r>
      <w:r w:rsidR="00056C5B">
        <w:rPr>
          <w:rFonts w:asciiTheme="minorHAnsi" w:hAnsiTheme="minorHAnsi" w:cstheme="minorHAnsi"/>
        </w:rPr>
        <w:t>)</w:t>
      </w:r>
      <w:r>
        <w:rPr>
          <w:rFonts w:asciiTheme="minorHAnsi" w:hAnsiTheme="minorHAnsi" w:cstheme="minorHAnsi"/>
        </w:rPr>
        <w:t xml:space="preserve"> </w:t>
      </w:r>
      <w:r w:rsidRPr="000A44FF">
        <w:rPr>
          <w:rFonts w:asciiTheme="minorHAnsi" w:hAnsiTheme="minorHAnsi" w:cstheme="minorHAnsi"/>
        </w:rPr>
        <w:t xml:space="preserve">that work in cooperation with </w:t>
      </w:r>
      <w:r w:rsidR="00C32B5B">
        <w:rPr>
          <w:rFonts w:asciiTheme="minorHAnsi" w:hAnsiTheme="minorHAnsi" w:cstheme="minorHAnsi"/>
        </w:rPr>
        <w:t xml:space="preserve">universities, </w:t>
      </w:r>
      <w:r w:rsidR="00056C5B">
        <w:rPr>
          <w:rFonts w:asciiTheme="minorHAnsi" w:hAnsiTheme="minorHAnsi" w:cstheme="minorHAnsi"/>
        </w:rPr>
        <w:t>F</w:t>
      </w:r>
      <w:r w:rsidR="006F20A3">
        <w:rPr>
          <w:rFonts w:asciiTheme="minorHAnsi" w:hAnsiTheme="minorHAnsi" w:cstheme="minorHAnsi"/>
        </w:rPr>
        <w:t>ederally funded research and development centers,</w:t>
      </w:r>
      <w:r w:rsidR="00C32B5B">
        <w:rPr>
          <w:rFonts w:asciiTheme="minorHAnsi" w:hAnsiTheme="minorHAnsi" w:cstheme="minorHAnsi"/>
        </w:rPr>
        <w:t xml:space="preserve"> </w:t>
      </w:r>
      <w:r w:rsidRPr="000A44FF">
        <w:rPr>
          <w:rFonts w:asciiTheme="minorHAnsi" w:hAnsiTheme="minorHAnsi" w:cstheme="minorHAnsi"/>
        </w:rPr>
        <w:t xml:space="preserve">and </w:t>
      </w:r>
      <w:r w:rsidR="00C32B5B">
        <w:rPr>
          <w:rFonts w:asciiTheme="minorHAnsi" w:hAnsiTheme="minorHAnsi" w:cstheme="minorHAnsi"/>
        </w:rPr>
        <w:t xml:space="preserve">other </w:t>
      </w:r>
      <w:r w:rsidRPr="000A44FF">
        <w:rPr>
          <w:rFonts w:asciiTheme="minorHAnsi" w:hAnsiTheme="minorHAnsi" w:cstheme="minorHAnsi"/>
        </w:rPr>
        <w:t xml:space="preserve">non-profit scientific and educational institutions. </w:t>
      </w:r>
      <w:r>
        <w:rPr>
          <w:rFonts w:asciiTheme="minorHAnsi" w:hAnsiTheme="minorHAnsi" w:cstheme="minorHAnsi"/>
        </w:rPr>
        <w:t xml:space="preserve">This percentage was </w:t>
      </w:r>
      <w:r w:rsidR="007C428C">
        <w:rPr>
          <w:rFonts w:asciiTheme="minorHAnsi" w:hAnsiTheme="minorHAnsi" w:cstheme="minorHAnsi"/>
        </w:rPr>
        <w:t>0</w:t>
      </w:r>
      <w:r>
        <w:rPr>
          <w:rFonts w:asciiTheme="minorHAnsi" w:hAnsiTheme="minorHAnsi" w:cstheme="minorHAnsi"/>
        </w:rPr>
        <w:t xml:space="preserve">.3% in FYs 2004-2011, </w:t>
      </w:r>
      <w:r w:rsidR="00AB5FB6">
        <w:rPr>
          <w:rFonts w:asciiTheme="minorHAnsi" w:hAnsiTheme="minorHAnsi" w:cstheme="minorHAnsi"/>
        </w:rPr>
        <w:t>and</w:t>
      </w:r>
      <w:r>
        <w:rPr>
          <w:rFonts w:asciiTheme="minorHAnsi" w:hAnsiTheme="minorHAnsi" w:cstheme="minorHAnsi"/>
        </w:rPr>
        <w:t xml:space="preserve"> legislation increased this minimum to </w:t>
      </w:r>
      <w:r w:rsidR="007C428C">
        <w:rPr>
          <w:rFonts w:asciiTheme="minorHAnsi" w:hAnsiTheme="minorHAnsi" w:cstheme="minorHAnsi"/>
        </w:rPr>
        <w:t>0</w:t>
      </w:r>
      <w:r>
        <w:rPr>
          <w:rFonts w:asciiTheme="minorHAnsi" w:hAnsiTheme="minorHAnsi" w:cstheme="minorHAnsi"/>
        </w:rPr>
        <w:t xml:space="preserve">.35% </w:t>
      </w:r>
      <w:r w:rsidR="002F7A8C">
        <w:rPr>
          <w:rFonts w:asciiTheme="minorHAnsi" w:hAnsiTheme="minorHAnsi" w:cstheme="minorHAnsi"/>
        </w:rPr>
        <w:t>for FYs</w:t>
      </w:r>
      <w:r>
        <w:rPr>
          <w:rFonts w:asciiTheme="minorHAnsi" w:hAnsiTheme="minorHAnsi" w:cstheme="minorHAnsi"/>
        </w:rPr>
        <w:t xml:space="preserve"> 2012 and 2013, with continued increases through 2016.  </w:t>
      </w:r>
      <w:r w:rsidR="00AE65EA">
        <w:rPr>
          <w:rFonts w:asciiTheme="minorHAnsi" w:hAnsiTheme="minorHAnsi" w:cstheme="minorHAnsi"/>
        </w:rPr>
        <w:t>The goal is to facilitate</w:t>
      </w:r>
      <w:r w:rsidR="00AE65EA" w:rsidRPr="00AE65EA">
        <w:rPr>
          <w:rFonts w:asciiTheme="minorHAnsi" w:hAnsiTheme="minorHAnsi" w:cstheme="minorHAnsi"/>
        </w:rPr>
        <w:t xml:space="preserve"> </w:t>
      </w:r>
      <w:r w:rsidR="00056C5B">
        <w:rPr>
          <w:rFonts w:asciiTheme="minorHAnsi" w:hAnsiTheme="minorHAnsi" w:cstheme="minorHAnsi"/>
        </w:rPr>
        <w:t xml:space="preserve">the </w:t>
      </w:r>
      <w:r w:rsidR="00AE65EA" w:rsidRPr="00AE65EA">
        <w:rPr>
          <w:rFonts w:asciiTheme="minorHAnsi" w:hAnsiTheme="minorHAnsi" w:cstheme="minorHAnsi"/>
        </w:rPr>
        <w:t xml:space="preserve">transfer </w:t>
      </w:r>
      <w:r w:rsidR="00AE65EA">
        <w:rPr>
          <w:rFonts w:asciiTheme="minorHAnsi" w:hAnsiTheme="minorHAnsi" w:cstheme="minorHAnsi"/>
        </w:rPr>
        <w:t>of</w:t>
      </w:r>
      <w:r w:rsidR="00AE65EA" w:rsidRPr="00AE65EA">
        <w:rPr>
          <w:rFonts w:asciiTheme="minorHAnsi" w:hAnsiTheme="minorHAnsi" w:cstheme="minorHAnsi"/>
        </w:rPr>
        <w:t xml:space="preserve"> technology and research from these institutions to commercial use</w:t>
      </w:r>
      <w:r w:rsidR="00056C5B">
        <w:rPr>
          <w:rFonts w:asciiTheme="minorHAnsi" w:hAnsiTheme="minorHAnsi" w:cstheme="minorHAnsi"/>
        </w:rPr>
        <w:t>s</w:t>
      </w:r>
      <w:r w:rsidR="00AE65EA" w:rsidRPr="00AE65EA">
        <w:rPr>
          <w:rFonts w:asciiTheme="minorHAnsi" w:hAnsiTheme="minorHAnsi" w:cstheme="minorHAnsi"/>
        </w:rPr>
        <w:t xml:space="preserve"> and</w:t>
      </w:r>
      <w:r w:rsidR="00056C5B">
        <w:rPr>
          <w:rFonts w:asciiTheme="minorHAnsi" w:hAnsiTheme="minorHAnsi" w:cstheme="minorHAnsi"/>
        </w:rPr>
        <w:t xml:space="preserve"> to</w:t>
      </w:r>
      <w:r w:rsidR="00AE65EA" w:rsidRPr="00AE65EA">
        <w:rPr>
          <w:rFonts w:asciiTheme="minorHAnsi" w:hAnsiTheme="minorHAnsi" w:cstheme="minorHAnsi"/>
        </w:rPr>
        <w:t xml:space="preserve"> encourage innovation.  </w:t>
      </w:r>
    </w:p>
    <w:p w14:paraId="640C2E8D" w14:textId="77777777" w:rsidR="000F0388" w:rsidRDefault="000F0388" w:rsidP="00AE65EA"/>
    <w:p w14:paraId="640C2E8E" w14:textId="77777777" w:rsidR="000F0388" w:rsidRPr="00B629EF" w:rsidRDefault="000F0388" w:rsidP="000F0388">
      <w:pPr>
        <w:pStyle w:val="Heading2"/>
        <w:tabs>
          <w:tab w:val="clear" w:pos="1080"/>
        </w:tabs>
        <w:ind w:left="360" w:hanging="360"/>
        <w:rPr>
          <w:rFonts w:asciiTheme="minorHAnsi" w:hAnsiTheme="minorHAnsi"/>
        </w:rPr>
      </w:pPr>
      <w:bookmarkStart w:id="7" w:name="_Toc391044052"/>
      <w:bookmarkStart w:id="8" w:name="_Toc398119182"/>
      <w:r w:rsidRPr="00B629EF">
        <w:rPr>
          <w:rFonts w:asciiTheme="minorHAnsi" w:hAnsiTheme="minorHAnsi"/>
        </w:rPr>
        <w:t>Program Objectives</w:t>
      </w:r>
      <w:bookmarkEnd w:id="7"/>
      <w:bookmarkEnd w:id="8"/>
    </w:p>
    <w:p w14:paraId="640C2E90" w14:textId="7E6F38B2" w:rsidR="000F0388" w:rsidRDefault="000F0388" w:rsidP="000F0388">
      <w:pPr>
        <w:rPr>
          <w:szCs w:val="22"/>
        </w:rPr>
      </w:pPr>
      <w:r>
        <w:rPr>
          <w:szCs w:val="22"/>
        </w:rPr>
        <w:t>The Small Business Act indicates that “</w:t>
      </w:r>
      <w:r w:rsidRPr="006B682A">
        <w:rPr>
          <w:szCs w:val="22"/>
        </w:rPr>
        <w:t>assistance</w:t>
      </w:r>
      <w:r>
        <w:rPr>
          <w:szCs w:val="22"/>
        </w:rPr>
        <w:t>”</w:t>
      </w:r>
      <w:r w:rsidRPr="006B682A">
        <w:rPr>
          <w:szCs w:val="22"/>
        </w:rPr>
        <w:t xml:space="preserve"> </w:t>
      </w:r>
      <w:r>
        <w:rPr>
          <w:szCs w:val="22"/>
        </w:rPr>
        <w:t>provided by the SBIR and STTR programs “</w:t>
      </w:r>
      <w:r w:rsidRPr="006B682A">
        <w:rPr>
          <w:szCs w:val="22"/>
        </w:rPr>
        <w:t>be given to small-business concerns to enable them to undertake and to obtain the benefits of research and development</w:t>
      </w:r>
      <w:r w:rsidRPr="006B682A">
        <w:t xml:space="preserve"> </w:t>
      </w:r>
      <w:r w:rsidRPr="006B682A">
        <w:rPr>
          <w:szCs w:val="22"/>
        </w:rPr>
        <w:t xml:space="preserve">in order </w:t>
      </w:r>
      <w:r w:rsidRPr="007937A8">
        <w:rPr>
          <w:i/>
          <w:szCs w:val="22"/>
        </w:rPr>
        <w:t>to maintain and strengthen the competitive free enterprise system and the national economy</w:t>
      </w:r>
      <w:r w:rsidRPr="006B682A">
        <w:rPr>
          <w:szCs w:val="22"/>
        </w:rPr>
        <w:t>.</w:t>
      </w:r>
      <w:r>
        <w:rPr>
          <w:szCs w:val="22"/>
        </w:rPr>
        <w:t>”</w:t>
      </w:r>
      <w:r w:rsidR="00F71B13">
        <w:rPr>
          <w:rStyle w:val="FootnoteReference"/>
          <w:szCs w:val="22"/>
        </w:rPr>
        <w:footnoteReference w:id="2"/>
      </w:r>
    </w:p>
    <w:p w14:paraId="2BEB2C01" w14:textId="77777777" w:rsidR="003117F4" w:rsidRDefault="003117F4" w:rsidP="000F0388">
      <w:pPr>
        <w:rPr>
          <w:szCs w:val="22"/>
        </w:rPr>
      </w:pPr>
    </w:p>
    <w:p w14:paraId="7803F5C1" w14:textId="77777777" w:rsidR="003117F4" w:rsidRDefault="003117F4" w:rsidP="000F0388">
      <w:pPr>
        <w:rPr>
          <w:szCs w:val="22"/>
        </w:rPr>
      </w:pPr>
    </w:p>
    <w:p w14:paraId="640C2E92" w14:textId="437AD8E6" w:rsidR="000F0388" w:rsidRDefault="000F0388" w:rsidP="000F0388">
      <w:pPr>
        <w:rPr>
          <w:szCs w:val="22"/>
        </w:rPr>
      </w:pPr>
      <w:r>
        <w:rPr>
          <w:szCs w:val="22"/>
        </w:rPr>
        <w:lastRenderedPageBreak/>
        <w:t xml:space="preserve">The </w:t>
      </w:r>
      <w:hyperlink r:id="rId12" w:history="1">
        <w:r w:rsidRPr="002A73BA">
          <w:rPr>
            <w:rStyle w:val="Hyperlink"/>
            <w:noProof w:val="0"/>
            <w:szCs w:val="22"/>
          </w:rPr>
          <w:t>SBIR</w:t>
        </w:r>
        <w:r w:rsidR="00F12DDB">
          <w:rPr>
            <w:rStyle w:val="Hyperlink"/>
            <w:noProof w:val="0"/>
            <w:szCs w:val="22"/>
          </w:rPr>
          <w:t>/STTR</w:t>
        </w:r>
        <w:r w:rsidRPr="002A73BA">
          <w:rPr>
            <w:rStyle w:val="Hyperlink"/>
            <w:noProof w:val="0"/>
            <w:szCs w:val="22"/>
          </w:rPr>
          <w:t xml:space="preserve"> Policy Directive</w:t>
        </w:r>
      </w:hyperlink>
      <w:r w:rsidR="00F12DDB">
        <w:rPr>
          <w:rStyle w:val="Hyperlink"/>
          <w:noProof w:val="0"/>
          <w:szCs w:val="22"/>
        </w:rPr>
        <w:t>s</w:t>
      </w:r>
      <w:r>
        <w:rPr>
          <w:szCs w:val="22"/>
        </w:rPr>
        <w:t xml:space="preserve"> </w:t>
      </w:r>
      <w:r w:rsidR="00F06102">
        <w:rPr>
          <w:szCs w:val="22"/>
        </w:rPr>
        <w:t>identi</w:t>
      </w:r>
      <w:r w:rsidR="00F12DDB">
        <w:rPr>
          <w:szCs w:val="22"/>
        </w:rPr>
        <w:t>fy</w:t>
      </w:r>
      <w:r w:rsidR="00F06102">
        <w:rPr>
          <w:szCs w:val="22"/>
        </w:rPr>
        <w:t xml:space="preserve"> the following </w:t>
      </w:r>
      <w:r w:rsidR="00500802">
        <w:rPr>
          <w:szCs w:val="22"/>
        </w:rPr>
        <w:t>primary</w:t>
      </w:r>
      <w:r>
        <w:rPr>
          <w:szCs w:val="22"/>
        </w:rPr>
        <w:t xml:space="preserve"> objective</w:t>
      </w:r>
      <w:r w:rsidR="007937A8">
        <w:rPr>
          <w:szCs w:val="22"/>
        </w:rPr>
        <w:t>s</w:t>
      </w:r>
      <w:r>
        <w:rPr>
          <w:szCs w:val="22"/>
        </w:rPr>
        <w:t>:</w:t>
      </w:r>
    </w:p>
    <w:p w14:paraId="4AF7F3AF" w14:textId="77777777" w:rsidR="003117F4" w:rsidRDefault="003117F4" w:rsidP="00715501">
      <w:pPr>
        <w:rPr>
          <w:szCs w:val="22"/>
        </w:rPr>
      </w:pPr>
    </w:p>
    <w:p w14:paraId="640C2E94" w14:textId="77777777" w:rsidR="000F0388" w:rsidRPr="00D24B51" w:rsidRDefault="000F0388" w:rsidP="00715501">
      <w:pPr>
        <w:pStyle w:val="ListParagraph"/>
        <w:numPr>
          <w:ilvl w:val="0"/>
          <w:numId w:val="3"/>
        </w:numPr>
      </w:pPr>
      <w:r>
        <w:t>Stimula</w:t>
      </w:r>
      <w:r w:rsidR="00500802">
        <w:t>te</w:t>
      </w:r>
      <w:r w:rsidRPr="00D24B51">
        <w:t xml:space="preserve"> technological innovation</w:t>
      </w:r>
      <w:r>
        <w:t>;</w:t>
      </w:r>
      <w:r w:rsidRPr="00D24B51">
        <w:t xml:space="preserve"> </w:t>
      </w:r>
    </w:p>
    <w:p w14:paraId="640C2E95" w14:textId="77777777" w:rsidR="000F0388" w:rsidRPr="00D24B51" w:rsidRDefault="000F0388" w:rsidP="00715501">
      <w:pPr>
        <w:pStyle w:val="ListParagraph"/>
        <w:numPr>
          <w:ilvl w:val="0"/>
          <w:numId w:val="3"/>
        </w:numPr>
      </w:pPr>
      <w:r w:rsidRPr="00D24B51">
        <w:t xml:space="preserve">Meet Federal </w:t>
      </w:r>
      <w:r w:rsidR="007937A8">
        <w:t>R&amp;D</w:t>
      </w:r>
      <w:r>
        <w:t xml:space="preserve"> needs;</w:t>
      </w:r>
    </w:p>
    <w:p w14:paraId="640C2E96" w14:textId="121D1C0D" w:rsidR="000F0388" w:rsidRPr="00D24B51" w:rsidRDefault="000F0388" w:rsidP="00715501">
      <w:pPr>
        <w:pStyle w:val="ListParagraph"/>
        <w:numPr>
          <w:ilvl w:val="0"/>
          <w:numId w:val="3"/>
        </w:numPr>
      </w:pPr>
      <w:r w:rsidRPr="00D24B51">
        <w:t>Foster</w:t>
      </w:r>
      <w:r w:rsidR="00500802">
        <w:t xml:space="preserve"> and encourage</w:t>
      </w:r>
      <w:r w:rsidRPr="00D24B51">
        <w:t xml:space="preserve"> participation in innovation and entrepreneurship by socially and econ</w:t>
      </w:r>
      <w:r>
        <w:t>omically disadvantaged persons; and</w:t>
      </w:r>
      <w:r w:rsidR="003117F4">
        <w:t>,</w:t>
      </w:r>
    </w:p>
    <w:p w14:paraId="640C2E97" w14:textId="77777777" w:rsidR="00F53DFC" w:rsidRDefault="00500802" w:rsidP="00715501">
      <w:pPr>
        <w:pStyle w:val="ListParagraph"/>
        <w:numPr>
          <w:ilvl w:val="0"/>
          <w:numId w:val="3"/>
        </w:numPr>
      </w:pPr>
      <w:r>
        <w:t>Increase</w:t>
      </w:r>
      <w:r w:rsidR="000F0388" w:rsidRPr="00D24B51">
        <w:t xml:space="preserve"> private-sector commercialization of innovations derived from Federal r</w:t>
      </w:r>
      <w:r w:rsidR="000F0388">
        <w:t>esearch and development funding.</w:t>
      </w:r>
    </w:p>
    <w:p w14:paraId="3F2F3BFD" w14:textId="77777777" w:rsidR="003117F4" w:rsidRDefault="003117F4" w:rsidP="00715501"/>
    <w:p w14:paraId="640C2E99" w14:textId="77777777" w:rsidR="00795192" w:rsidRDefault="00251D3F" w:rsidP="00715501">
      <w:pPr>
        <w:rPr>
          <w:szCs w:val="22"/>
        </w:rPr>
      </w:pPr>
      <w:r>
        <w:rPr>
          <w:szCs w:val="22"/>
        </w:rPr>
        <w:t>In addition, t</w:t>
      </w:r>
      <w:r w:rsidR="00795192" w:rsidRPr="000A44FF">
        <w:rPr>
          <w:szCs w:val="22"/>
        </w:rPr>
        <w:t xml:space="preserve">he Reauthorization Act </w:t>
      </w:r>
      <w:r>
        <w:rPr>
          <w:szCs w:val="22"/>
        </w:rPr>
        <w:t>added</w:t>
      </w:r>
      <w:r w:rsidR="00795192">
        <w:rPr>
          <w:szCs w:val="22"/>
        </w:rPr>
        <w:t xml:space="preserve"> several new </w:t>
      </w:r>
      <w:r w:rsidR="002F7A8C">
        <w:rPr>
          <w:szCs w:val="22"/>
        </w:rPr>
        <w:t>initiatives including</w:t>
      </w:r>
      <w:r w:rsidR="00795192">
        <w:rPr>
          <w:szCs w:val="22"/>
        </w:rPr>
        <w:t>:</w:t>
      </w:r>
    </w:p>
    <w:p w14:paraId="640C2E9B" w14:textId="77777777" w:rsidR="00795192" w:rsidRDefault="00795192" w:rsidP="00715501">
      <w:pPr>
        <w:pStyle w:val="ListParagraph"/>
        <w:numPr>
          <w:ilvl w:val="0"/>
          <w:numId w:val="7"/>
        </w:numPr>
      </w:pPr>
      <w:r>
        <w:t>Permitting</w:t>
      </w:r>
      <w:r w:rsidRPr="00795192">
        <w:t xml:space="preserve"> agencies to direct some SBIR funds to firms that are owned by multiple venture capital operating companies (VCOCs), hedge fund</w:t>
      </w:r>
      <w:r>
        <w:t>s, and/or private equity firms;</w:t>
      </w:r>
    </w:p>
    <w:p w14:paraId="640C2E9C" w14:textId="77777777" w:rsidR="00795192" w:rsidRDefault="00795192" w:rsidP="00715501">
      <w:pPr>
        <w:pStyle w:val="ListParagraph"/>
        <w:numPr>
          <w:ilvl w:val="0"/>
          <w:numId w:val="7"/>
        </w:numPr>
      </w:pPr>
      <w:r>
        <w:t xml:space="preserve">Allowing agencies to provide </w:t>
      </w:r>
      <w:r w:rsidR="00C32B5B">
        <w:t xml:space="preserve">one </w:t>
      </w:r>
      <w:r>
        <w:t>additional Phase II award to small businesses to extend a study;</w:t>
      </w:r>
    </w:p>
    <w:p w14:paraId="640C2E9D" w14:textId="47D639CA" w:rsidR="00795192" w:rsidRDefault="00056C5B" w:rsidP="00715501">
      <w:pPr>
        <w:pStyle w:val="ListParagraph"/>
        <w:numPr>
          <w:ilvl w:val="0"/>
          <w:numId w:val="7"/>
        </w:numPr>
      </w:pPr>
      <w:r>
        <w:t>The c</w:t>
      </w:r>
      <w:r w:rsidR="00B301BF">
        <w:t>ommercialization</w:t>
      </w:r>
      <w:r w:rsidR="00251D3F">
        <w:t xml:space="preserve"> readiness progra</w:t>
      </w:r>
      <w:r w:rsidR="00E16978">
        <w:t>m at</w:t>
      </w:r>
      <w:r>
        <w:t xml:space="preserve"> the U.S. Department of Defense (DoD)</w:t>
      </w:r>
      <w:r w:rsidR="00E16978">
        <w:t xml:space="preserve"> and pilot programs at civilian agencies;</w:t>
      </w:r>
    </w:p>
    <w:p w14:paraId="640C2E9E" w14:textId="35E6D3AA" w:rsidR="00795192" w:rsidRDefault="00D06BC4" w:rsidP="00715501">
      <w:pPr>
        <w:pStyle w:val="ListParagraph"/>
        <w:numPr>
          <w:ilvl w:val="0"/>
          <w:numId w:val="7"/>
        </w:numPr>
      </w:pPr>
      <w:r>
        <w:t>Reducing</w:t>
      </w:r>
      <w:r w:rsidR="00251D3F">
        <w:t xml:space="preserve"> processing times</w:t>
      </w:r>
      <w:r w:rsidR="00F12DDB">
        <w:t xml:space="preserve"> between </w:t>
      </w:r>
      <w:r w:rsidR="007519E3">
        <w:t xml:space="preserve">solicitation </w:t>
      </w:r>
      <w:r w:rsidR="00012492">
        <w:t xml:space="preserve">request </w:t>
      </w:r>
      <w:r w:rsidR="00F12DDB">
        <w:t>closing date</w:t>
      </w:r>
      <w:r w:rsidR="007519E3">
        <w:t>s</w:t>
      </w:r>
      <w:r w:rsidR="00F12DDB">
        <w:t xml:space="preserve"> and </w:t>
      </w:r>
      <w:r w:rsidR="007519E3">
        <w:t>final agency decision dates</w:t>
      </w:r>
      <w:r w:rsidR="00012492">
        <w:t xml:space="preserve"> of awardee selection</w:t>
      </w:r>
      <w:r w:rsidR="00251D3F">
        <w:t xml:space="preserve">; </w:t>
      </w:r>
    </w:p>
    <w:p w14:paraId="640C2E9F" w14:textId="77777777" w:rsidR="00500802" w:rsidRDefault="00500802" w:rsidP="00715501">
      <w:pPr>
        <w:pStyle w:val="ListParagraph"/>
        <w:numPr>
          <w:ilvl w:val="0"/>
          <w:numId w:val="7"/>
        </w:numPr>
      </w:pPr>
      <w:r>
        <w:t>Pilot program to allow agencies to use 3% of program budgets for administration and oversight;</w:t>
      </w:r>
    </w:p>
    <w:p w14:paraId="640C2EA0" w14:textId="0855DE8B" w:rsidR="00251D3F" w:rsidRDefault="00251D3F" w:rsidP="00715501">
      <w:pPr>
        <w:pStyle w:val="ListParagraph"/>
        <w:numPr>
          <w:ilvl w:val="0"/>
          <w:numId w:val="7"/>
        </w:numPr>
      </w:pPr>
      <w:r>
        <w:t xml:space="preserve">Reducing </w:t>
      </w:r>
      <w:r w:rsidR="00056C5B">
        <w:t xml:space="preserve">the </w:t>
      </w:r>
      <w:r>
        <w:t xml:space="preserve">vulnerability of </w:t>
      </w:r>
      <w:r w:rsidR="00056C5B">
        <w:t>f</w:t>
      </w:r>
      <w:r>
        <w:t>raud</w:t>
      </w:r>
      <w:r w:rsidR="00056C5B">
        <w:t>,</w:t>
      </w:r>
      <w:r>
        <w:t xml:space="preserve"> </w:t>
      </w:r>
      <w:r w:rsidR="00056C5B">
        <w:t>w</w:t>
      </w:r>
      <w:r>
        <w:t>aste</w:t>
      </w:r>
      <w:r w:rsidR="00056C5B">
        <w:t>,</w:t>
      </w:r>
      <w:r>
        <w:t xml:space="preserve"> and </w:t>
      </w:r>
      <w:r w:rsidR="00056C5B">
        <w:t>a</w:t>
      </w:r>
      <w:r>
        <w:t>buse (FWA);</w:t>
      </w:r>
    </w:p>
    <w:p w14:paraId="640C2EA1" w14:textId="043B8399" w:rsidR="00251D3F" w:rsidRDefault="00251D3F" w:rsidP="00715501">
      <w:pPr>
        <w:pStyle w:val="ListParagraph"/>
        <w:numPr>
          <w:ilvl w:val="0"/>
          <w:numId w:val="7"/>
        </w:numPr>
      </w:pPr>
      <w:r>
        <w:t>Provisions for improved program evaluation; and</w:t>
      </w:r>
      <w:r w:rsidR="003117F4">
        <w:t>,</w:t>
      </w:r>
    </w:p>
    <w:p w14:paraId="640C2EA2" w14:textId="77777777" w:rsidR="00251D3F" w:rsidRDefault="00500802" w:rsidP="00715501">
      <w:pPr>
        <w:pStyle w:val="ListParagraph"/>
        <w:numPr>
          <w:ilvl w:val="0"/>
          <w:numId w:val="7"/>
        </w:numPr>
      </w:pPr>
      <w:r>
        <w:t>Other initiatives</w:t>
      </w:r>
      <w:r w:rsidR="00E16978">
        <w:t xml:space="preserve"> to increase </w:t>
      </w:r>
      <w:r w:rsidR="00B301BF">
        <w:t>commercialization</w:t>
      </w:r>
      <w:r w:rsidR="00E16978">
        <w:t xml:space="preserve"> and outreach.</w:t>
      </w:r>
    </w:p>
    <w:p w14:paraId="188D6A81" w14:textId="77777777" w:rsidR="003117F4" w:rsidRDefault="003117F4" w:rsidP="00715501">
      <w:pPr>
        <w:pStyle w:val="ListParagraph"/>
        <w:ind w:left="763"/>
      </w:pPr>
    </w:p>
    <w:p w14:paraId="0925DDFC" w14:textId="60B0935E" w:rsidR="00640199" w:rsidRPr="00012492" w:rsidRDefault="00640199" w:rsidP="005A48DA">
      <w:pPr>
        <w:pStyle w:val="Heading5"/>
        <w:spacing w:before="0" w:after="120"/>
        <w:rPr>
          <w:color w:val="auto"/>
        </w:rPr>
      </w:pPr>
      <w:r w:rsidRPr="00012492">
        <w:rPr>
          <w:rFonts w:asciiTheme="minorHAnsi" w:hAnsiTheme="minorHAnsi" w:cs="Times New Roman"/>
          <w:color w:val="auto"/>
          <w:szCs w:val="22"/>
        </w:rPr>
        <w:t>In general, the SBIR/STTR reauthorization legislation underscored the need for improved commercialization, outreach, and program evaluation.</w:t>
      </w:r>
      <w:r w:rsidRPr="00012492">
        <w:rPr>
          <w:rFonts w:cs="Times New Roman"/>
          <w:color w:val="auto"/>
        </w:rPr>
        <w:t xml:space="preserve"> </w:t>
      </w:r>
      <w:r w:rsidRPr="00012492">
        <w:rPr>
          <w:rFonts w:asciiTheme="minorHAnsi" w:hAnsiTheme="minorHAnsi" w:cs="Times New Roman"/>
          <w:color w:val="auto"/>
          <w:szCs w:val="22"/>
        </w:rPr>
        <w:t xml:space="preserve">In December 2013 the </w:t>
      </w:r>
      <w:r w:rsidRPr="00012492">
        <w:rPr>
          <w:rFonts w:asciiTheme="minorHAnsi" w:hAnsiTheme="minorHAnsi"/>
          <w:color w:val="auto"/>
          <w:szCs w:val="22"/>
        </w:rPr>
        <w:t xml:space="preserve">lead </w:t>
      </w:r>
      <w:r w:rsidRPr="00012492">
        <w:rPr>
          <w:rFonts w:asciiTheme="minorHAnsi" w:hAnsiTheme="minorHAnsi" w:cs="Times New Roman"/>
          <w:color w:val="auto"/>
          <w:szCs w:val="22"/>
        </w:rPr>
        <w:t xml:space="preserve">SBIR/STTR Program Managers in conjunction with White House Office of Science &amp; Technology Policy </w:t>
      </w:r>
      <w:r w:rsidRPr="00012492">
        <w:rPr>
          <w:rFonts w:asciiTheme="minorHAnsi" w:hAnsiTheme="minorHAnsi"/>
          <w:color w:val="auto"/>
          <w:szCs w:val="22"/>
        </w:rPr>
        <w:t xml:space="preserve">(OSTP) </w:t>
      </w:r>
      <w:r w:rsidRPr="00012492">
        <w:rPr>
          <w:rFonts w:asciiTheme="minorHAnsi" w:hAnsiTheme="minorHAnsi" w:cs="Times New Roman"/>
          <w:color w:val="auto"/>
          <w:szCs w:val="22"/>
        </w:rPr>
        <w:t>facilitated the creation of five sub-working groups that fall under the “Fueling Small Business Innovation” component of the President’s Lab to Market Commercialization Agenda. These five groups are:</w:t>
      </w:r>
    </w:p>
    <w:p w14:paraId="0CC1CF76" w14:textId="77777777" w:rsidR="00640199" w:rsidRPr="00012492" w:rsidRDefault="00640199" w:rsidP="005A48DA">
      <w:pPr>
        <w:pStyle w:val="Heading5"/>
        <w:keepLines w:val="0"/>
        <w:numPr>
          <w:ilvl w:val="4"/>
          <w:numId w:val="19"/>
        </w:numPr>
        <w:spacing w:before="0" w:after="120"/>
        <w:jc w:val="left"/>
        <w:rPr>
          <w:rFonts w:asciiTheme="minorHAnsi" w:hAnsiTheme="minorHAnsi"/>
          <w:color w:val="auto"/>
          <w:szCs w:val="22"/>
        </w:rPr>
      </w:pPr>
      <w:r w:rsidRPr="00012492">
        <w:rPr>
          <w:rFonts w:asciiTheme="minorHAnsi" w:hAnsiTheme="minorHAnsi"/>
          <w:color w:val="auto"/>
          <w:szCs w:val="22"/>
        </w:rPr>
        <w:t>Outreach &amp; Communications</w:t>
      </w:r>
    </w:p>
    <w:p w14:paraId="02409D37" w14:textId="77777777" w:rsidR="00640199" w:rsidRPr="00012492" w:rsidRDefault="00640199" w:rsidP="005A48DA">
      <w:pPr>
        <w:pStyle w:val="Heading5"/>
        <w:keepLines w:val="0"/>
        <w:numPr>
          <w:ilvl w:val="4"/>
          <w:numId w:val="19"/>
        </w:numPr>
        <w:spacing w:before="0" w:after="120"/>
        <w:jc w:val="left"/>
        <w:rPr>
          <w:rFonts w:asciiTheme="minorHAnsi" w:hAnsiTheme="minorHAnsi"/>
          <w:color w:val="auto"/>
          <w:szCs w:val="22"/>
        </w:rPr>
      </w:pPr>
      <w:r w:rsidRPr="00012492">
        <w:rPr>
          <w:rFonts w:asciiTheme="minorHAnsi" w:hAnsiTheme="minorHAnsi"/>
          <w:color w:val="auto"/>
          <w:szCs w:val="22"/>
        </w:rPr>
        <w:t>Commercialization Pathways</w:t>
      </w:r>
    </w:p>
    <w:p w14:paraId="03DBF511" w14:textId="77777777" w:rsidR="00640199" w:rsidRPr="00012492" w:rsidRDefault="00640199" w:rsidP="005A48DA">
      <w:pPr>
        <w:pStyle w:val="Heading5"/>
        <w:keepLines w:val="0"/>
        <w:numPr>
          <w:ilvl w:val="4"/>
          <w:numId w:val="19"/>
        </w:numPr>
        <w:spacing w:before="0" w:after="120"/>
        <w:jc w:val="left"/>
        <w:rPr>
          <w:rFonts w:asciiTheme="minorHAnsi" w:hAnsiTheme="minorHAnsi"/>
          <w:color w:val="auto"/>
          <w:szCs w:val="22"/>
        </w:rPr>
      </w:pPr>
      <w:r w:rsidRPr="00012492">
        <w:rPr>
          <w:rFonts w:asciiTheme="minorHAnsi" w:hAnsiTheme="minorHAnsi"/>
          <w:color w:val="auto"/>
          <w:szCs w:val="22"/>
        </w:rPr>
        <w:t>Awards Efficiency &amp; Efficacy</w:t>
      </w:r>
    </w:p>
    <w:p w14:paraId="2855357E" w14:textId="77777777" w:rsidR="00640199" w:rsidRPr="00012492" w:rsidRDefault="00640199" w:rsidP="005A48DA">
      <w:pPr>
        <w:pStyle w:val="Heading5"/>
        <w:keepLines w:val="0"/>
        <w:numPr>
          <w:ilvl w:val="4"/>
          <w:numId w:val="19"/>
        </w:numPr>
        <w:spacing w:before="0" w:after="120"/>
        <w:jc w:val="left"/>
        <w:rPr>
          <w:rFonts w:asciiTheme="minorHAnsi" w:hAnsiTheme="minorHAnsi"/>
          <w:color w:val="auto"/>
          <w:szCs w:val="22"/>
        </w:rPr>
      </w:pPr>
      <w:r w:rsidRPr="00012492">
        <w:rPr>
          <w:rFonts w:asciiTheme="minorHAnsi" w:hAnsiTheme="minorHAnsi"/>
          <w:color w:val="auto"/>
          <w:szCs w:val="22"/>
        </w:rPr>
        <w:t>Databases &amp; Interagency Exchange of Information</w:t>
      </w:r>
    </w:p>
    <w:p w14:paraId="67F1E29B" w14:textId="77777777" w:rsidR="00640199" w:rsidRPr="00012492" w:rsidRDefault="00640199" w:rsidP="005A48DA">
      <w:pPr>
        <w:pStyle w:val="Heading5"/>
        <w:keepLines w:val="0"/>
        <w:numPr>
          <w:ilvl w:val="4"/>
          <w:numId w:val="19"/>
        </w:numPr>
        <w:spacing w:before="0" w:after="240"/>
        <w:jc w:val="left"/>
        <w:rPr>
          <w:rFonts w:asciiTheme="minorHAnsi" w:hAnsiTheme="minorHAnsi"/>
          <w:color w:val="auto"/>
          <w:szCs w:val="22"/>
        </w:rPr>
      </w:pPr>
      <w:r w:rsidRPr="00012492">
        <w:rPr>
          <w:rFonts w:asciiTheme="minorHAnsi" w:hAnsiTheme="minorHAnsi"/>
          <w:color w:val="auto"/>
          <w:szCs w:val="22"/>
        </w:rPr>
        <w:t>Asset Mapping</w:t>
      </w:r>
    </w:p>
    <w:p w14:paraId="2420547E" w14:textId="1B30A3E1" w:rsidR="005A48DA" w:rsidRDefault="00640199" w:rsidP="00640199">
      <w:pPr>
        <w:pStyle w:val="BodyText"/>
        <w:ind w:firstLine="0"/>
        <w:rPr>
          <w:sz w:val="22"/>
          <w:szCs w:val="22"/>
        </w:rPr>
      </w:pPr>
      <w:r w:rsidRPr="00026620">
        <w:rPr>
          <w:sz w:val="22"/>
          <w:szCs w:val="22"/>
        </w:rPr>
        <w:t>Going forward</w:t>
      </w:r>
      <w:r>
        <w:rPr>
          <w:sz w:val="22"/>
          <w:szCs w:val="22"/>
        </w:rPr>
        <w:t xml:space="preserve"> these five groups are tasked with various short-term and long-term projects that fall within scope of various facets covered in the President’s Lab to Market Commercialization Agenda. They will seek to identify issues, challenges, and provide further recommendations for consideration amongst the various SBIR/STTR program managers as well for SBA and OSTP consideration as it relates to the SBIR/STTR program.   </w:t>
      </w:r>
    </w:p>
    <w:p w14:paraId="340BAF41" w14:textId="77777777" w:rsidR="005A48DA" w:rsidRDefault="005A48DA">
      <w:pPr>
        <w:jc w:val="left"/>
        <w:rPr>
          <w:color w:val="000000"/>
          <w:szCs w:val="22"/>
        </w:rPr>
      </w:pPr>
      <w:r>
        <w:rPr>
          <w:szCs w:val="22"/>
        </w:rPr>
        <w:br w:type="page"/>
      </w:r>
    </w:p>
    <w:p w14:paraId="640C2EAA" w14:textId="77777777" w:rsidR="000F0388" w:rsidRPr="00B629EF" w:rsidRDefault="000F0388" w:rsidP="000F0388">
      <w:pPr>
        <w:pStyle w:val="Heading2"/>
        <w:tabs>
          <w:tab w:val="clear" w:pos="1080"/>
        </w:tabs>
        <w:ind w:left="360" w:hanging="360"/>
        <w:rPr>
          <w:rFonts w:asciiTheme="minorHAnsi" w:hAnsiTheme="minorHAnsi"/>
        </w:rPr>
      </w:pPr>
      <w:bookmarkStart w:id="9" w:name="_Toc391044053"/>
      <w:bookmarkStart w:id="10" w:name="_Toc398119183"/>
      <w:r w:rsidRPr="00B629EF">
        <w:rPr>
          <w:rFonts w:asciiTheme="minorHAnsi" w:hAnsiTheme="minorHAnsi"/>
        </w:rPr>
        <w:lastRenderedPageBreak/>
        <w:t>SBIR/STTR Process</w:t>
      </w:r>
      <w:bookmarkEnd w:id="9"/>
      <w:bookmarkEnd w:id="10"/>
      <w:r w:rsidRPr="00B629EF">
        <w:rPr>
          <w:rFonts w:asciiTheme="minorHAnsi" w:hAnsiTheme="minorHAnsi"/>
        </w:rPr>
        <w:t xml:space="preserve"> </w:t>
      </w:r>
    </w:p>
    <w:p w14:paraId="640C2EAC" w14:textId="77777777" w:rsidR="00F53DFC" w:rsidRDefault="00AE65EA" w:rsidP="00E456D5">
      <w:r>
        <w:t>To bring technology from ideas to commercialization, b</w:t>
      </w:r>
      <w:r w:rsidR="007C48C6">
        <w:t>oth programs utilize a three</w:t>
      </w:r>
      <w:r w:rsidR="006D255E">
        <w:t xml:space="preserve"> phase approach:</w:t>
      </w:r>
    </w:p>
    <w:p w14:paraId="640C2EAD" w14:textId="77777777" w:rsidR="00F53DFC" w:rsidRDefault="00F53DFC" w:rsidP="00E456D5">
      <w:r>
        <w:rPr>
          <w:noProof/>
        </w:rPr>
        <w:drawing>
          <wp:inline distT="0" distB="0" distL="0" distR="0" wp14:anchorId="640C303A" wp14:editId="246563C0">
            <wp:extent cx="6109854" cy="1295400"/>
            <wp:effectExtent l="19050" t="0" r="2476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40C2EAE" w14:textId="2A5D1002" w:rsidR="00E456D5" w:rsidRPr="00235129" w:rsidRDefault="00E456D5" w:rsidP="00CA2DF5">
      <w:pPr>
        <w:pStyle w:val="ListParagraph"/>
        <w:numPr>
          <w:ilvl w:val="0"/>
          <w:numId w:val="4"/>
        </w:numPr>
        <w:rPr>
          <w:color w:val="000000"/>
        </w:rPr>
      </w:pPr>
      <w:r w:rsidRPr="00F041F4">
        <w:rPr>
          <w:b/>
          <w:i/>
          <w:iCs/>
        </w:rPr>
        <w:t>Phase I – Feasibility/Proof of Concept</w:t>
      </w:r>
      <w:r w:rsidRPr="00F041F4">
        <w:rPr>
          <w:b/>
          <w:color w:val="000000"/>
        </w:rPr>
        <w:t>.</w:t>
      </w:r>
      <w:r w:rsidRPr="00235129">
        <w:rPr>
          <w:color w:val="000000"/>
        </w:rPr>
        <w:t xml:space="preserve"> </w:t>
      </w:r>
      <w:r w:rsidR="006D255E">
        <w:rPr>
          <w:color w:val="000000"/>
        </w:rPr>
        <w:t xml:space="preserve"> U</w:t>
      </w:r>
      <w:r w:rsidR="00AA556A">
        <w:rPr>
          <w:color w:val="000000"/>
        </w:rPr>
        <w:t xml:space="preserve">sing a competitive process, federal agencies award up to $150,000 to a small business </w:t>
      </w:r>
      <w:r w:rsidRPr="00235129">
        <w:rPr>
          <w:color w:val="000000"/>
        </w:rPr>
        <w:t xml:space="preserve">to </w:t>
      </w:r>
      <w:r w:rsidR="00AA556A">
        <w:rPr>
          <w:color w:val="000000"/>
        </w:rPr>
        <w:t>perform research/research and development (R/R&amp;D) for up to 6</w:t>
      </w:r>
      <w:r w:rsidR="007604BF">
        <w:rPr>
          <w:color w:val="000000"/>
        </w:rPr>
        <w:t>-12</w:t>
      </w:r>
      <w:r w:rsidR="00AA556A">
        <w:rPr>
          <w:color w:val="000000"/>
        </w:rPr>
        <w:t xml:space="preserve"> months on a specific topic in order to establish</w:t>
      </w:r>
      <w:r w:rsidRPr="00235129">
        <w:rPr>
          <w:color w:val="000000"/>
        </w:rPr>
        <w:t xml:space="preserve"> </w:t>
      </w:r>
      <w:r w:rsidR="00AA556A">
        <w:rPr>
          <w:color w:val="000000"/>
        </w:rPr>
        <w:t>its</w:t>
      </w:r>
      <w:r w:rsidRPr="00235129">
        <w:rPr>
          <w:color w:val="000000"/>
        </w:rPr>
        <w:t xml:space="preserve"> technical merit, feasibility, and commercial potential</w:t>
      </w:r>
      <w:r w:rsidR="00AA556A">
        <w:rPr>
          <w:color w:val="000000"/>
        </w:rPr>
        <w:t xml:space="preserve">. During this phase, federal </w:t>
      </w:r>
      <w:r w:rsidR="00B301BF">
        <w:rPr>
          <w:color w:val="000000"/>
        </w:rPr>
        <w:t>agencies</w:t>
      </w:r>
      <w:r w:rsidRPr="00235129">
        <w:rPr>
          <w:color w:val="000000"/>
        </w:rPr>
        <w:t xml:space="preserve"> </w:t>
      </w:r>
      <w:r w:rsidR="0036358D">
        <w:rPr>
          <w:color w:val="000000"/>
        </w:rPr>
        <w:t>assess</w:t>
      </w:r>
      <w:r w:rsidRPr="00235129">
        <w:rPr>
          <w:color w:val="000000"/>
        </w:rPr>
        <w:t xml:space="preserve"> </w:t>
      </w:r>
      <w:r w:rsidR="0036358D">
        <w:rPr>
          <w:color w:val="000000"/>
        </w:rPr>
        <w:t xml:space="preserve">both </w:t>
      </w:r>
      <w:r w:rsidRPr="00235129">
        <w:rPr>
          <w:color w:val="000000"/>
        </w:rPr>
        <w:t>the per</w:t>
      </w:r>
      <w:r w:rsidR="0036358D">
        <w:rPr>
          <w:color w:val="000000"/>
        </w:rPr>
        <w:t>formance of the small business</w:t>
      </w:r>
      <w:r w:rsidRPr="00235129">
        <w:rPr>
          <w:color w:val="000000"/>
        </w:rPr>
        <w:t xml:space="preserve"> </w:t>
      </w:r>
      <w:r w:rsidR="00AA556A">
        <w:rPr>
          <w:color w:val="000000"/>
        </w:rPr>
        <w:t xml:space="preserve">and the potential of the technology </w:t>
      </w:r>
      <w:r w:rsidRPr="00235129">
        <w:rPr>
          <w:color w:val="000000"/>
        </w:rPr>
        <w:t xml:space="preserve">prior to providing further Federal support in Phase II. </w:t>
      </w:r>
      <w:r>
        <w:rPr>
          <w:color w:val="000000"/>
        </w:rPr>
        <w:t xml:space="preserve"> </w:t>
      </w:r>
    </w:p>
    <w:p w14:paraId="640C2EAF" w14:textId="77777777" w:rsidR="00E456D5" w:rsidRPr="00394ACF" w:rsidRDefault="00E456D5" w:rsidP="00E456D5">
      <w:pPr>
        <w:rPr>
          <w:color w:val="000000"/>
          <w:szCs w:val="22"/>
        </w:rPr>
      </w:pPr>
    </w:p>
    <w:p w14:paraId="640C2EB0" w14:textId="6D16B352" w:rsidR="00E456D5" w:rsidRPr="00235129" w:rsidRDefault="00E456D5" w:rsidP="00CA2DF5">
      <w:pPr>
        <w:pStyle w:val="ListParagraph"/>
        <w:numPr>
          <w:ilvl w:val="0"/>
          <w:numId w:val="4"/>
        </w:numPr>
        <w:rPr>
          <w:color w:val="000000"/>
        </w:rPr>
      </w:pPr>
      <w:r w:rsidRPr="00F041F4">
        <w:rPr>
          <w:b/>
          <w:i/>
          <w:iCs/>
        </w:rPr>
        <w:t>Phase II – Full Research and Development.</w:t>
      </w:r>
      <w:r w:rsidRPr="00D24B51">
        <w:t xml:space="preserve"> </w:t>
      </w:r>
      <w:r w:rsidR="00954119">
        <w:rPr>
          <w:color w:val="000000"/>
        </w:rPr>
        <w:t>B</w:t>
      </w:r>
      <w:r w:rsidR="00954119" w:rsidRPr="00235129">
        <w:rPr>
          <w:color w:val="000000"/>
        </w:rPr>
        <w:t xml:space="preserve">ased on </w:t>
      </w:r>
      <w:r w:rsidR="00954119">
        <w:rPr>
          <w:color w:val="000000"/>
        </w:rPr>
        <w:t xml:space="preserve">the results achieved in Phase I, federal agencies will decide whether to continue R/R&amp;D efforts into Phase II based on </w:t>
      </w:r>
      <w:r w:rsidR="00F3725A" w:rsidRPr="00F3725A">
        <w:rPr>
          <w:color w:val="000000"/>
        </w:rPr>
        <w:t>the scientific, technical, and commercial merit and feasibility of the idea</w:t>
      </w:r>
      <w:r w:rsidR="00F3725A">
        <w:rPr>
          <w:color w:val="000000"/>
        </w:rPr>
        <w:t xml:space="preserve">. </w:t>
      </w:r>
      <w:r w:rsidR="00954119">
        <w:rPr>
          <w:color w:val="000000"/>
        </w:rPr>
        <w:t xml:space="preserve">If </w:t>
      </w:r>
      <w:r w:rsidR="00AA556A">
        <w:t xml:space="preserve">the federal agency </w:t>
      </w:r>
      <w:r w:rsidR="00954119">
        <w:t xml:space="preserve">decides to continue into Phase II, they will award up to $1 million </w:t>
      </w:r>
      <w:r w:rsidR="0036358D">
        <w:t>to the small business</w:t>
      </w:r>
      <w:r w:rsidR="00954119">
        <w:t xml:space="preserve"> to co</w:t>
      </w:r>
      <w:r w:rsidR="002A73BA">
        <w:t>ntinue R/R&amp;D efforts for up to 2</w:t>
      </w:r>
      <w:r w:rsidR="00954119">
        <w:t xml:space="preserve"> year</w:t>
      </w:r>
      <w:r w:rsidR="002A73BA">
        <w:t>s</w:t>
      </w:r>
      <w:r w:rsidR="0036358D">
        <w:rPr>
          <w:color w:val="000000"/>
        </w:rPr>
        <w:t xml:space="preserve">. </w:t>
      </w:r>
    </w:p>
    <w:p w14:paraId="640C2EB1" w14:textId="77777777" w:rsidR="00E456D5" w:rsidRPr="00394ACF" w:rsidRDefault="00E456D5" w:rsidP="00E456D5">
      <w:pPr>
        <w:rPr>
          <w:color w:val="000000"/>
          <w:szCs w:val="22"/>
        </w:rPr>
      </w:pPr>
    </w:p>
    <w:p w14:paraId="640C2EB3" w14:textId="1361676E" w:rsidR="0052302B" w:rsidRPr="005A48DA" w:rsidRDefault="00E456D5" w:rsidP="005A48DA">
      <w:pPr>
        <w:pStyle w:val="ListParagraph"/>
        <w:numPr>
          <w:ilvl w:val="0"/>
          <w:numId w:val="4"/>
        </w:numPr>
        <w:spacing w:after="120"/>
        <w:rPr>
          <w:color w:val="000000"/>
        </w:rPr>
      </w:pPr>
      <w:r w:rsidRPr="00F041F4">
        <w:rPr>
          <w:b/>
          <w:i/>
          <w:color w:val="000000"/>
        </w:rPr>
        <w:t>Phase III - Commercialization</w:t>
      </w:r>
      <w:r w:rsidRPr="00235129">
        <w:rPr>
          <w:color w:val="000000"/>
        </w:rPr>
        <w:t xml:space="preserve">. </w:t>
      </w:r>
      <w:r w:rsidR="00F3725A">
        <w:rPr>
          <w:color w:val="000000"/>
        </w:rPr>
        <w:t xml:space="preserve">No </w:t>
      </w:r>
      <w:r w:rsidR="0052302B">
        <w:rPr>
          <w:color w:val="000000"/>
        </w:rPr>
        <w:t xml:space="preserve">specific </w:t>
      </w:r>
      <w:r w:rsidR="00F3725A">
        <w:rPr>
          <w:color w:val="000000"/>
        </w:rPr>
        <w:t xml:space="preserve">SBIR funding is associated with Phase III. </w:t>
      </w:r>
      <w:r w:rsidRPr="00235129">
        <w:rPr>
          <w:color w:val="000000"/>
        </w:rPr>
        <w:t xml:space="preserve">The objective of Phase III is for the small business to pursue commercialization objectives resulting from the Phase I/II activities. </w:t>
      </w:r>
      <w:r w:rsidR="00F3725A">
        <w:rPr>
          <w:color w:val="000000"/>
        </w:rPr>
        <w:t>The Sm</w:t>
      </w:r>
      <w:r w:rsidR="008E7386">
        <w:rPr>
          <w:color w:val="000000"/>
        </w:rPr>
        <w:t>all Business Act</w:t>
      </w:r>
      <w:r w:rsidR="007218FF">
        <w:rPr>
          <w:rStyle w:val="FootnoteReference"/>
          <w:color w:val="000000"/>
        </w:rPr>
        <w:footnoteReference w:id="3"/>
      </w:r>
      <w:r w:rsidR="008E7386">
        <w:rPr>
          <w:color w:val="000000"/>
        </w:rPr>
        <w:t xml:space="preserve"> defines commer</w:t>
      </w:r>
      <w:r w:rsidR="00F3725A">
        <w:rPr>
          <w:color w:val="000000"/>
        </w:rPr>
        <w:t>cialization as</w:t>
      </w:r>
      <w:r w:rsidR="00314F00">
        <w:rPr>
          <w:color w:val="000000"/>
        </w:rPr>
        <w:t>:</w:t>
      </w:r>
      <w:r w:rsidR="00F3725A">
        <w:rPr>
          <w:color w:val="000000"/>
        </w:rPr>
        <w:t xml:space="preserve"> </w:t>
      </w:r>
    </w:p>
    <w:p w14:paraId="640C2EB4" w14:textId="011D8DC2" w:rsidR="0052302B" w:rsidRDefault="0052302B" w:rsidP="005A48DA">
      <w:pPr>
        <w:tabs>
          <w:tab w:val="left" w:pos="1080"/>
        </w:tabs>
        <w:spacing w:after="120"/>
        <w:ind w:firstLine="720"/>
        <w:rPr>
          <w:color w:val="000000"/>
        </w:rPr>
      </w:pPr>
      <w:r>
        <w:rPr>
          <w:color w:val="000000"/>
        </w:rPr>
        <w:tab/>
        <w:t>-</w:t>
      </w:r>
      <w:r>
        <w:rPr>
          <w:color w:val="000000"/>
        </w:rPr>
        <w:tab/>
      </w:r>
      <w:r w:rsidR="00F3725A" w:rsidRPr="0052302B">
        <w:rPr>
          <w:color w:val="000000"/>
        </w:rPr>
        <w:t>the process of developing products, processes, technologies, or</w:t>
      </w:r>
    </w:p>
    <w:p w14:paraId="640C2EB5" w14:textId="65D3EA1F" w:rsidR="00F3725A" w:rsidRPr="0052302B" w:rsidRDefault="00F3725A" w:rsidP="005A48DA">
      <w:pPr>
        <w:pStyle w:val="ListParagraph"/>
        <w:numPr>
          <w:ilvl w:val="0"/>
          <w:numId w:val="6"/>
        </w:numPr>
        <w:tabs>
          <w:tab w:val="left" w:pos="1080"/>
        </w:tabs>
        <w:spacing w:after="120"/>
        <w:rPr>
          <w:color w:val="000000"/>
        </w:rPr>
      </w:pPr>
      <w:r w:rsidRPr="0052302B">
        <w:rPr>
          <w:color w:val="000000"/>
        </w:rPr>
        <w:t>the production and delivery (whether by the originating party or by others) of products, processes, technologies, or services for sale to or use by the Federal Government or commercial markets.</w:t>
      </w:r>
      <w:r w:rsidR="0052302B" w:rsidRPr="0052302B">
        <w:rPr>
          <w:color w:val="000000"/>
        </w:rPr>
        <w:t xml:space="preserve"> </w:t>
      </w:r>
    </w:p>
    <w:p w14:paraId="640C2EB7" w14:textId="380B5D2E" w:rsidR="0052302B" w:rsidRDefault="000F0388" w:rsidP="0052302B">
      <w:pPr>
        <w:ind w:left="720"/>
        <w:rPr>
          <w:color w:val="000000"/>
        </w:rPr>
      </w:pPr>
      <w:r>
        <w:rPr>
          <w:color w:val="000000"/>
        </w:rPr>
        <w:t>A significant</w:t>
      </w:r>
      <w:r w:rsidR="0052302B">
        <w:rPr>
          <w:color w:val="000000"/>
        </w:rPr>
        <w:t xml:space="preserve"> advantage to Phase I/II award winners is that </w:t>
      </w:r>
      <w:r w:rsidR="00056C5B">
        <w:rPr>
          <w:color w:val="000000"/>
        </w:rPr>
        <w:t>F</w:t>
      </w:r>
      <w:r w:rsidR="0052302B">
        <w:rPr>
          <w:color w:val="000000"/>
        </w:rPr>
        <w:t xml:space="preserve">ederal agencies may pursue sole source contracts to utilize technology developed through </w:t>
      </w:r>
      <w:r>
        <w:rPr>
          <w:color w:val="000000"/>
        </w:rPr>
        <w:t>prior SBIR/STTR awards</w:t>
      </w:r>
      <w:r w:rsidR="0052302B">
        <w:rPr>
          <w:color w:val="000000"/>
        </w:rPr>
        <w:t xml:space="preserve"> which automatically qualify as a Phase III activity.  </w:t>
      </w:r>
    </w:p>
    <w:p w14:paraId="640C2EB8" w14:textId="77777777" w:rsidR="008E7386" w:rsidRDefault="008E7386" w:rsidP="008E7386">
      <w:pPr>
        <w:rPr>
          <w:color w:val="000000"/>
        </w:rPr>
      </w:pPr>
    </w:p>
    <w:p w14:paraId="640C2EB9" w14:textId="7352F640" w:rsidR="000F0388" w:rsidRDefault="002F7A8C" w:rsidP="00F3725A">
      <w:pPr>
        <w:rPr>
          <w:color w:val="000000"/>
        </w:rPr>
      </w:pPr>
      <w:r>
        <w:rPr>
          <w:color w:val="000000"/>
        </w:rPr>
        <w:t>The SBIR</w:t>
      </w:r>
      <w:r w:rsidR="00F63800">
        <w:rPr>
          <w:color w:val="000000"/>
        </w:rPr>
        <w:t>/STTR prog</w:t>
      </w:r>
      <w:r w:rsidR="00E16978">
        <w:rPr>
          <w:color w:val="000000"/>
        </w:rPr>
        <w:t>ram evaluation framework</w:t>
      </w:r>
      <w:r w:rsidR="00F63800">
        <w:rPr>
          <w:color w:val="000000"/>
        </w:rPr>
        <w:t xml:space="preserve"> needs to consider </w:t>
      </w:r>
      <w:r w:rsidR="00012492">
        <w:rPr>
          <w:color w:val="000000"/>
        </w:rPr>
        <w:t xml:space="preserve">and/or look into </w:t>
      </w:r>
      <w:r w:rsidR="00F63800">
        <w:rPr>
          <w:color w:val="000000"/>
        </w:rPr>
        <w:t xml:space="preserve">the success at attracting </w:t>
      </w:r>
      <w:r w:rsidR="007519E3">
        <w:rPr>
          <w:color w:val="000000"/>
        </w:rPr>
        <w:t xml:space="preserve">additional </w:t>
      </w:r>
      <w:r w:rsidR="002A73BA">
        <w:rPr>
          <w:color w:val="000000"/>
        </w:rPr>
        <w:t xml:space="preserve">qualified </w:t>
      </w:r>
      <w:r w:rsidR="00F63800">
        <w:rPr>
          <w:color w:val="000000"/>
        </w:rPr>
        <w:t>small businesses to</w:t>
      </w:r>
      <w:r w:rsidR="007519E3">
        <w:rPr>
          <w:color w:val="000000"/>
        </w:rPr>
        <w:t xml:space="preserve"> compete for agency awards within </w:t>
      </w:r>
      <w:r w:rsidR="00F63800">
        <w:rPr>
          <w:color w:val="000000"/>
        </w:rPr>
        <w:t>the program</w:t>
      </w:r>
      <w:r w:rsidR="007519E3">
        <w:rPr>
          <w:color w:val="000000"/>
        </w:rPr>
        <w:t>s</w:t>
      </w:r>
      <w:r w:rsidR="00F63800">
        <w:rPr>
          <w:color w:val="000000"/>
        </w:rPr>
        <w:t>, the successful transitions between phases</w:t>
      </w:r>
      <w:r w:rsidR="007519E3">
        <w:rPr>
          <w:color w:val="000000"/>
        </w:rPr>
        <w:t xml:space="preserve"> of all small businesses receiving SBIR/STTR awards</w:t>
      </w:r>
      <w:r w:rsidR="00F63800">
        <w:rPr>
          <w:color w:val="000000"/>
        </w:rPr>
        <w:t>, and the impact of the techn</w:t>
      </w:r>
      <w:r w:rsidR="00783710">
        <w:rPr>
          <w:color w:val="000000"/>
        </w:rPr>
        <w:t>ology in terms of commer</w:t>
      </w:r>
      <w:r w:rsidR="00F63800">
        <w:rPr>
          <w:color w:val="000000"/>
        </w:rPr>
        <w:t xml:space="preserve">cialization.  </w:t>
      </w:r>
    </w:p>
    <w:p w14:paraId="640C2EBD" w14:textId="77777777" w:rsidR="00A30689" w:rsidRDefault="00A30689">
      <w:pPr>
        <w:jc w:val="left"/>
        <w:rPr>
          <w:color w:val="000000"/>
        </w:rPr>
      </w:pPr>
    </w:p>
    <w:p w14:paraId="640C2EBE" w14:textId="77777777" w:rsidR="00500802" w:rsidRDefault="00500802">
      <w:pPr>
        <w:jc w:val="left"/>
        <w:rPr>
          <w:color w:val="000000"/>
        </w:rPr>
      </w:pPr>
      <w:r>
        <w:rPr>
          <w:color w:val="000000"/>
        </w:rPr>
        <w:br w:type="page"/>
      </w:r>
    </w:p>
    <w:p w14:paraId="640C2EC1" w14:textId="77777777" w:rsidR="00C102B9" w:rsidRPr="00B629EF" w:rsidRDefault="00C102B9" w:rsidP="00C102B9">
      <w:pPr>
        <w:pStyle w:val="Heading1"/>
        <w:rPr>
          <w:rFonts w:asciiTheme="minorHAnsi" w:hAnsiTheme="minorHAnsi"/>
        </w:rPr>
      </w:pPr>
      <w:bookmarkStart w:id="11" w:name="_Toc391044054"/>
      <w:bookmarkStart w:id="12" w:name="_Toc398119184"/>
      <w:r w:rsidRPr="00B629EF">
        <w:rPr>
          <w:rFonts w:asciiTheme="minorHAnsi" w:hAnsiTheme="minorHAnsi"/>
        </w:rPr>
        <w:lastRenderedPageBreak/>
        <w:t>Discussion</w:t>
      </w:r>
      <w:bookmarkEnd w:id="11"/>
      <w:bookmarkEnd w:id="12"/>
      <w:r w:rsidRPr="00B629EF">
        <w:rPr>
          <w:rFonts w:asciiTheme="minorHAnsi" w:hAnsiTheme="minorHAnsi"/>
        </w:rPr>
        <w:t xml:space="preserve"> </w:t>
      </w:r>
    </w:p>
    <w:p w14:paraId="640C2EC2" w14:textId="77777777" w:rsidR="00C102B9" w:rsidRPr="00B629EF" w:rsidRDefault="00C102B9" w:rsidP="006856DA"/>
    <w:p w14:paraId="640C2EC3" w14:textId="77777777" w:rsidR="008E4402" w:rsidRPr="00B629EF" w:rsidRDefault="009E7C22" w:rsidP="008E4402">
      <w:pPr>
        <w:pStyle w:val="Heading2"/>
        <w:tabs>
          <w:tab w:val="clear" w:pos="1080"/>
        </w:tabs>
        <w:ind w:left="360" w:hanging="360"/>
        <w:rPr>
          <w:rFonts w:asciiTheme="minorHAnsi" w:hAnsiTheme="minorHAnsi"/>
        </w:rPr>
      </w:pPr>
      <w:bookmarkStart w:id="13" w:name="_SBIR/STTR_Program_Evaluation"/>
      <w:bookmarkStart w:id="14" w:name="_Toc391044055"/>
      <w:bookmarkStart w:id="15" w:name="_Toc398119185"/>
      <w:bookmarkEnd w:id="13"/>
      <w:r w:rsidRPr="00B629EF">
        <w:rPr>
          <w:rFonts w:asciiTheme="minorHAnsi" w:hAnsiTheme="minorHAnsi"/>
        </w:rPr>
        <w:t xml:space="preserve">SBIR/STTR </w:t>
      </w:r>
      <w:r w:rsidR="008E4402" w:rsidRPr="00B629EF">
        <w:rPr>
          <w:rFonts w:asciiTheme="minorHAnsi" w:hAnsiTheme="minorHAnsi"/>
        </w:rPr>
        <w:t>Program Evaluation Framework</w:t>
      </w:r>
      <w:bookmarkEnd w:id="14"/>
      <w:bookmarkEnd w:id="15"/>
    </w:p>
    <w:p w14:paraId="640C2EC5" w14:textId="788020DE" w:rsidR="00694B80" w:rsidRDefault="006C3A7F" w:rsidP="00A20C83">
      <w:r>
        <w:t>A</w:t>
      </w:r>
      <w:r w:rsidR="00694B80">
        <w:t xml:space="preserve"> program evaluation framework </w:t>
      </w:r>
      <w:r w:rsidR="008E4402">
        <w:t>s</w:t>
      </w:r>
      <w:r w:rsidR="008E4402" w:rsidRPr="008E4402">
        <w:t>ummarizes and organizes the steps and standards for effective program evaluatio</w:t>
      </w:r>
      <w:r w:rsidR="008E4402">
        <w:t xml:space="preserve">n. </w:t>
      </w:r>
      <w:r w:rsidR="003F5275">
        <w:t>The chart below shows the steps in developing and evaluating a program.</w:t>
      </w:r>
    </w:p>
    <w:p w14:paraId="640C2EC7" w14:textId="77777777" w:rsidR="00694B80" w:rsidRDefault="00694B80" w:rsidP="00A20C83"/>
    <w:p w14:paraId="640C2EC8" w14:textId="77777777" w:rsidR="00694B80" w:rsidRDefault="006C3A7F" w:rsidP="008E4402">
      <w:pPr>
        <w:jc w:val="center"/>
      </w:pPr>
      <w:r>
        <w:rPr>
          <w:noProof/>
        </w:rPr>
        <w:drawing>
          <wp:inline distT="0" distB="0" distL="0" distR="0" wp14:anchorId="640C303C" wp14:editId="640C303D">
            <wp:extent cx="5843016" cy="3474720"/>
            <wp:effectExtent l="0" t="0" r="0" b="11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34D6709" w14:textId="77777777" w:rsidR="005700A5" w:rsidRDefault="005700A5" w:rsidP="00A20C83"/>
    <w:p w14:paraId="640C2ECB" w14:textId="75300DA3" w:rsidR="00C60887" w:rsidRDefault="003F5275" w:rsidP="00715501">
      <w:r>
        <w:t xml:space="preserve">As shown, the process is cyclical where the evaluation </w:t>
      </w:r>
      <w:r w:rsidR="00705E43">
        <w:t>criteria</w:t>
      </w:r>
      <w:r>
        <w:t xml:space="preserve"> are developed based on input by the stakeholders</w:t>
      </w:r>
      <w:r w:rsidR="00A73A16">
        <w:t xml:space="preserve"> and assessing </w:t>
      </w:r>
      <w:r>
        <w:t>program object</w:t>
      </w:r>
      <w:r w:rsidR="00A73A16">
        <w:t xml:space="preserve">ives and processes. After </w:t>
      </w:r>
      <w:r w:rsidR="002A73BA">
        <w:t xml:space="preserve">focusing the design by establishing </w:t>
      </w:r>
      <w:r w:rsidR="00A73A16">
        <w:t xml:space="preserve">evaluation </w:t>
      </w:r>
      <w:r w:rsidR="00705E43">
        <w:t>criteria</w:t>
      </w:r>
      <w:r w:rsidR="00A73A16">
        <w:t>, data is gathered</w:t>
      </w:r>
      <w:r w:rsidR="00977B03">
        <w:t xml:space="preserve"> and evaluated. Based on </w:t>
      </w:r>
      <w:r w:rsidR="00C60887">
        <w:t xml:space="preserve">the </w:t>
      </w:r>
      <w:r w:rsidR="005C6D9F">
        <w:t>conclusions drawn and findings that are presented, the IPC may make recommendations to improve the effectiveness and efficiency of the programs.</w:t>
      </w:r>
    </w:p>
    <w:p w14:paraId="640C2ECC" w14:textId="77777777" w:rsidR="00C60887" w:rsidRDefault="00C60887" w:rsidP="00715501"/>
    <w:p w14:paraId="640C2ECD" w14:textId="79B76793" w:rsidR="00C60887" w:rsidRDefault="00C32B5B" w:rsidP="00715501">
      <w:r>
        <w:t>The</w:t>
      </w:r>
      <w:r w:rsidR="005C6D9F">
        <w:t xml:space="preserve"> U.S.</w:t>
      </w:r>
      <w:r>
        <w:t xml:space="preserve"> G</w:t>
      </w:r>
      <w:r w:rsidR="005C6D9F">
        <w:t xml:space="preserve">overnment </w:t>
      </w:r>
      <w:r>
        <w:t>A</w:t>
      </w:r>
      <w:r w:rsidR="005C6D9F">
        <w:t xml:space="preserve">ccountability </w:t>
      </w:r>
      <w:r>
        <w:t>O</w:t>
      </w:r>
      <w:r w:rsidR="005C6D9F">
        <w:t>ffice (GAO)</w:t>
      </w:r>
      <w:r>
        <w:t xml:space="preserve"> has conducted several assessments of the programs’ effectiveness. </w:t>
      </w:r>
      <w:r w:rsidR="00C60887">
        <w:t xml:space="preserve">In </w:t>
      </w:r>
      <w:r>
        <w:t xml:space="preserve">addition, in </w:t>
      </w:r>
      <w:r w:rsidR="00C60887">
        <w:t xml:space="preserve">2008, the </w:t>
      </w:r>
      <w:hyperlink r:id="rId23" w:history="1">
        <w:r w:rsidR="00C60887" w:rsidRPr="002A73BA">
          <w:rPr>
            <w:rStyle w:val="Hyperlink"/>
            <w:noProof w:val="0"/>
          </w:rPr>
          <w:t>National Academy of Science</w:t>
        </w:r>
        <w:r w:rsidR="00502E2A">
          <w:rPr>
            <w:rStyle w:val="Hyperlink"/>
            <w:noProof w:val="0"/>
          </w:rPr>
          <w:t>s</w:t>
        </w:r>
        <w:r w:rsidR="00C60887" w:rsidRPr="002A73BA">
          <w:rPr>
            <w:rStyle w:val="Hyperlink"/>
            <w:noProof w:val="0"/>
          </w:rPr>
          <w:t xml:space="preserve"> (NAS) provided a report</w:t>
        </w:r>
      </w:hyperlink>
      <w:r w:rsidR="00C60887">
        <w:t xml:space="preserve"> to Congress assessing the SBIR</w:t>
      </w:r>
      <w:r w:rsidR="00962166">
        <w:t>/STTR</w:t>
      </w:r>
      <w:r w:rsidR="00C60887">
        <w:t xml:space="preserve"> program</w:t>
      </w:r>
      <w:r w:rsidR="00962166">
        <w:t>s</w:t>
      </w:r>
      <w:r w:rsidR="00C60887">
        <w:t xml:space="preserve">. In general, the </w:t>
      </w:r>
      <w:r>
        <w:t xml:space="preserve">GAO and </w:t>
      </w:r>
      <w:r w:rsidR="00C60887">
        <w:t>NAS stud</w:t>
      </w:r>
      <w:r>
        <w:t>ies</w:t>
      </w:r>
      <w:r w:rsidR="00C60887">
        <w:t xml:space="preserve"> found the programs to be effective in achieving the program objectives (see 2b in this report), but cited the need to improve data collec</w:t>
      </w:r>
      <w:r w:rsidR="009E7C22">
        <w:t>tion with an emphasis on commer</w:t>
      </w:r>
      <w:r w:rsidR="00C60887">
        <w:t>cialization and outreach to women-owned and socially or economically</w:t>
      </w:r>
      <w:r w:rsidR="005A48DA">
        <w:t xml:space="preserve"> disadvantaged business owners.</w:t>
      </w:r>
      <w:r w:rsidR="00C60887">
        <w:t xml:space="preserve"> Many of the recommendations cited in </w:t>
      </w:r>
      <w:r>
        <w:t xml:space="preserve">the NAS </w:t>
      </w:r>
      <w:r w:rsidR="00C60887">
        <w:t>study</w:t>
      </w:r>
      <w:r w:rsidR="00A73A16">
        <w:t xml:space="preserve"> were incorporated into the </w:t>
      </w:r>
      <w:r w:rsidR="00EF0E70">
        <w:t>Reauthorization Act</w:t>
      </w:r>
      <w:r>
        <w:t xml:space="preserve"> of 2011</w:t>
      </w:r>
      <w:r w:rsidR="00EF0E70">
        <w:t>.</w:t>
      </w:r>
    </w:p>
    <w:p w14:paraId="640C2ECE" w14:textId="77777777" w:rsidR="00A73A16" w:rsidRDefault="00A73A16" w:rsidP="00715501"/>
    <w:p w14:paraId="640C2ECF" w14:textId="4E3D7F3D" w:rsidR="00A56A30" w:rsidRDefault="003D6E65" w:rsidP="00715501">
      <w:r>
        <w:t xml:space="preserve">With this </w:t>
      </w:r>
      <w:r w:rsidR="00705E43">
        <w:t xml:space="preserve">most recent </w:t>
      </w:r>
      <w:r>
        <w:t xml:space="preserve">reauthorization, </w:t>
      </w:r>
      <w:r w:rsidR="00705E43">
        <w:t xml:space="preserve">the </w:t>
      </w:r>
      <w:r>
        <w:t>SBIR/STTR evaluation framework</w:t>
      </w:r>
      <w:r w:rsidR="00CD3282">
        <w:t xml:space="preserve"> must be reassessed </w:t>
      </w:r>
      <w:r>
        <w:t xml:space="preserve">to meet </w:t>
      </w:r>
      <w:r w:rsidR="00CD3282">
        <w:t xml:space="preserve">modified </w:t>
      </w:r>
      <w:r w:rsidR="005A48DA">
        <w:t xml:space="preserve">objectives. </w:t>
      </w:r>
      <w:r w:rsidR="00CD3282">
        <w:t xml:space="preserve">The goal is to provide the analysis necessary to </w:t>
      </w:r>
      <w:r w:rsidR="00C32B5B">
        <w:t xml:space="preserve">improve the efficiency and effectiveness of the programs and </w:t>
      </w:r>
      <w:r w:rsidR="00EE6FF7">
        <w:t>support policy making efforts</w:t>
      </w:r>
      <w:r w:rsidR="00E42016">
        <w:t xml:space="preserve"> wherein possible amongst the collective efforts of the federal agencies involved in the administering of the SBIR/STTR program</w:t>
      </w:r>
      <w:r w:rsidR="00C675D4">
        <w:t xml:space="preserve"> as it relates to each agency’s mission directive in applicable conjunction with the program itself</w:t>
      </w:r>
      <w:r w:rsidR="00EE6FF7">
        <w:t>.</w:t>
      </w:r>
      <w:r w:rsidR="00CD3282">
        <w:t xml:space="preserve"> Each of the above steps is discussed below with this goal in mind.</w:t>
      </w:r>
    </w:p>
    <w:p w14:paraId="640C2ED2" w14:textId="767E64CF" w:rsidR="00A56A30" w:rsidRDefault="00A56A30" w:rsidP="005700A5">
      <w:pPr>
        <w:pStyle w:val="ListParagraph"/>
        <w:numPr>
          <w:ilvl w:val="0"/>
          <w:numId w:val="8"/>
        </w:numPr>
        <w:spacing w:after="120"/>
      </w:pPr>
      <w:r w:rsidRPr="00514218">
        <w:rPr>
          <w:b/>
          <w:i/>
        </w:rPr>
        <w:lastRenderedPageBreak/>
        <w:t xml:space="preserve">Step 1 – </w:t>
      </w:r>
      <w:r w:rsidR="00D04657">
        <w:rPr>
          <w:b/>
          <w:i/>
        </w:rPr>
        <w:t>Engage</w:t>
      </w:r>
      <w:r w:rsidRPr="00514218">
        <w:rPr>
          <w:b/>
          <w:i/>
        </w:rPr>
        <w:t xml:space="preserve"> the Stakeholders</w:t>
      </w:r>
      <w:r>
        <w:t>. With the formation of the IPC</w:t>
      </w:r>
      <w:r w:rsidR="00DD0138">
        <w:t>,</w:t>
      </w:r>
      <w:r>
        <w:t xml:space="preserve"> stakeholder representatives of the SBIR/STTR programs </w:t>
      </w:r>
      <w:r w:rsidR="00AA62D6">
        <w:t xml:space="preserve">and the general American innovation ecosystem </w:t>
      </w:r>
      <w:r>
        <w:t xml:space="preserve">are </w:t>
      </w:r>
      <w:r w:rsidR="00D04657">
        <w:t>engaged</w:t>
      </w:r>
      <w:r>
        <w:t xml:space="preserve">. </w:t>
      </w:r>
    </w:p>
    <w:p w14:paraId="640C2ED4" w14:textId="0F487AED" w:rsidR="002F1DF9" w:rsidRDefault="00A56A30" w:rsidP="005700A5">
      <w:pPr>
        <w:pStyle w:val="ListParagraph"/>
        <w:numPr>
          <w:ilvl w:val="0"/>
          <w:numId w:val="8"/>
        </w:numPr>
        <w:spacing w:after="120"/>
      </w:pPr>
      <w:r w:rsidRPr="00514218">
        <w:rPr>
          <w:b/>
          <w:i/>
        </w:rPr>
        <w:t>Step 2 – Describe the Program</w:t>
      </w:r>
      <w:r>
        <w:t>. The</w:t>
      </w:r>
      <w:r w:rsidR="00EF0E70">
        <w:t xml:space="preserve"> Reauthorization Act and </w:t>
      </w:r>
      <w:r w:rsidR="009E7C22">
        <w:t>subsequent updated</w:t>
      </w:r>
      <w:r w:rsidR="00EF0E70">
        <w:t xml:space="preserve"> SBIR/S</w:t>
      </w:r>
      <w:r w:rsidR="009E7C22">
        <w:t>TTR Policy Directive</w:t>
      </w:r>
      <w:r w:rsidR="0049441B">
        <w:t>s</w:t>
      </w:r>
      <w:r>
        <w:t xml:space="preserve"> </w:t>
      </w:r>
      <w:r w:rsidR="0049441B">
        <w:t>enacted and implemented several changes to the programs</w:t>
      </w:r>
      <w:r w:rsidR="009E7C22">
        <w:t xml:space="preserve">.  </w:t>
      </w:r>
      <w:r w:rsidR="00DD0138">
        <w:t>Section 2b in this report summarizes the program</w:t>
      </w:r>
      <w:r w:rsidR="0049441B">
        <w:t>s, their</w:t>
      </w:r>
      <w:r w:rsidR="00DD0138">
        <w:t xml:space="preserve"> objectives</w:t>
      </w:r>
      <w:r w:rsidR="0049441B">
        <w:t>, and the major statutory changes to the programs</w:t>
      </w:r>
      <w:r w:rsidR="00DD0138">
        <w:t>.</w:t>
      </w:r>
    </w:p>
    <w:p w14:paraId="640C2ED6" w14:textId="6675F93A" w:rsidR="002F1DF9" w:rsidRDefault="002F1DF9" w:rsidP="005700A5">
      <w:pPr>
        <w:pStyle w:val="ListParagraph"/>
        <w:numPr>
          <w:ilvl w:val="0"/>
          <w:numId w:val="8"/>
        </w:numPr>
        <w:spacing w:after="120"/>
      </w:pPr>
      <w:r w:rsidRPr="002F1DF9">
        <w:rPr>
          <w:b/>
          <w:i/>
        </w:rPr>
        <w:t>Step 3 – Focus the Design.</w:t>
      </w:r>
      <w:r>
        <w:t xml:space="preserve"> </w:t>
      </w:r>
      <w:r w:rsidR="00A56A30">
        <w:t xml:space="preserve">In this step, stakeholders </w:t>
      </w:r>
      <w:r w:rsidR="00566561">
        <w:t>focus the design</w:t>
      </w:r>
      <w:r w:rsidR="0049441B">
        <w:t xml:space="preserve"> of thte evaluation framework</w:t>
      </w:r>
      <w:r w:rsidR="00566561">
        <w:t xml:space="preserve"> by establishing evaluation criteria which </w:t>
      </w:r>
      <w:r w:rsidR="00A56A30" w:rsidRPr="00A56A30">
        <w:t xml:space="preserve">assess the issues of greatest concern </w:t>
      </w:r>
      <w:r w:rsidR="00A56A30">
        <w:t>considering both t</w:t>
      </w:r>
      <w:r w:rsidR="00DD0138">
        <w:t>ime and budgetary constraints.</w:t>
      </w:r>
      <w:r w:rsidR="003B55E3">
        <w:t xml:space="preserve"> This report focuses on Step 3</w:t>
      </w:r>
      <w:r w:rsidR="00566561">
        <w:t>.</w:t>
      </w:r>
    </w:p>
    <w:p w14:paraId="640C2ED8" w14:textId="0ED304A3" w:rsidR="002F1DF9" w:rsidRDefault="002F1DF9" w:rsidP="005700A5">
      <w:pPr>
        <w:pStyle w:val="ListParagraph"/>
        <w:numPr>
          <w:ilvl w:val="0"/>
          <w:numId w:val="8"/>
        </w:numPr>
        <w:spacing w:after="120"/>
      </w:pPr>
      <w:r w:rsidRPr="002F1DF9">
        <w:rPr>
          <w:b/>
          <w:i/>
        </w:rPr>
        <w:t>Step 4 – Gather the Data</w:t>
      </w:r>
      <w:r>
        <w:t xml:space="preserve">. The data needed to assess the program will be collected via a common SBIR database. One of the IPC reports </w:t>
      </w:r>
      <w:r w:rsidR="003B55E3">
        <w:t>describes the</w:t>
      </w:r>
      <w:r>
        <w:t xml:space="preserve"> </w:t>
      </w:r>
      <w:r w:rsidR="00012492">
        <w:t xml:space="preserve">commercialization </w:t>
      </w:r>
      <w:r>
        <w:t>database that will be i</w:t>
      </w:r>
      <w:r w:rsidR="003B55E3">
        <w:t>mplemented as required by Subtitle C of the Reauthorization Act.</w:t>
      </w:r>
      <w:r w:rsidR="00CD3282">
        <w:t xml:space="preserve">  </w:t>
      </w:r>
    </w:p>
    <w:p w14:paraId="640C2EDA" w14:textId="3C61B6DD" w:rsidR="003B55E3" w:rsidRDefault="002F1DF9" w:rsidP="005700A5">
      <w:pPr>
        <w:pStyle w:val="ListParagraph"/>
        <w:numPr>
          <w:ilvl w:val="0"/>
          <w:numId w:val="8"/>
        </w:numPr>
        <w:spacing w:after="120"/>
      </w:pPr>
      <w:r w:rsidRPr="003B55E3">
        <w:rPr>
          <w:b/>
          <w:i/>
        </w:rPr>
        <w:t>Step 5 – Draw Conclusions</w:t>
      </w:r>
      <w:r>
        <w:t xml:space="preserve">. </w:t>
      </w:r>
      <w:r w:rsidR="002957C3">
        <w:t>Section</w:t>
      </w:r>
      <w:r w:rsidR="003B55E3">
        <w:t xml:space="preserve"> 5137 of the Reauthorization Act requires SBA to enter into an agreement with NAS to continue the</w:t>
      </w:r>
      <w:r w:rsidR="00012492">
        <w:t>ir independent</w:t>
      </w:r>
      <w:r w:rsidR="003B55E3">
        <w:t xml:space="preserve"> study of the </w:t>
      </w:r>
      <w:r w:rsidR="00705E43">
        <w:t xml:space="preserve">SBIR and STTR </w:t>
      </w:r>
      <w:r w:rsidR="003B55E3">
        <w:t>programs 4 years after enactment</w:t>
      </w:r>
      <w:r w:rsidR="00914125">
        <w:t xml:space="preserve"> (by December 31, 2015)</w:t>
      </w:r>
      <w:r w:rsidR="003B55E3">
        <w:t xml:space="preserve"> and every 4 years thereafter.  </w:t>
      </w:r>
    </w:p>
    <w:p w14:paraId="770DFE9A" w14:textId="76D1B41E" w:rsidR="005700A5" w:rsidRDefault="003B55E3" w:rsidP="005700A5">
      <w:pPr>
        <w:pStyle w:val="ListParagraph"/>
        <w:numPr>
          <w:ilvl w:val="0"/>
          <w:numId w:val="8"/>
        </w:numPr>
        <w:spacing w:after="240"/>
      </w:pPr>
      <w:r w:rsidRPr="007604BF">
        <w:rPr>
          <w:b/>
          <w:i/>
        </w:rPr>
        <w:t xml:space="preserve">Step 6 – Present Findings. </w:t>
      </w:r>
      <w:r w:rsidRPr="007604BF">
        <w:t xml:space="preserve">The </w:t>
      </w:r>
      <w:r w:rsidR="00914125" w:rsidRPr="007604BF">
        <w:t xml:space="preserve">NAS Study </w:t>
      </w:r>
      <w:r w:rsidR="00705E43" w:rsidRPr="007604BF">
        <w:t xml:space="preserve">will be presented to </w:t>
      </w:r>
      <w:r w:rsidRPr="007604BF">
        <w:t xml:space="preserve">the </w:t>
      </w:r>
      <w:r w:rsidR="007604BF" w:rsidRPr="007604BF">
        <w:t xml:space="preserve">agencies who fund the study for review and technical comment. The </w:t>
      </w:r>
      <w:r w:rsidRPr="007604BF">
        <w:t xml:space="preserve">IPC </w:t>
      </w:r>
      <w:r w:rsidR="007604BF" w:rsidRPr="007604BF">
        <w:t>may also review the study</w:t>
      </w:r>
      <w:r w:rsidRPr="007604BF">
        <w:t>.</w:t>
      </w:r>
      <w:r w:rsidR="00914125" w:rsidRPr="007604BF">
        <w:t xml:space="preserve">  </w:t>
      </w:r>
      <w:r w:rsidR="007604BF" w:rsidRPr="007604BF">
        <w:t>The study and any recommendations will be provided to Congress to support policy making efforts.</w:t>
      </w:r>
    </w:p>
    <w:p w14:paraId="640C2EDF" w14:textId="77777777" w:rsidR="00DD0138" w:rsidRPr="00B629EF" w:rsidRDefault="00DD0138" w:rsidP="0009710E">
      <w:pPr>
        <w:pStyle w:val="Heading2"/>
        <w:tabs>
          <w:tab w:val="clear" w:pos="1080"/>
        </w:tabs>
        <w:ind w:left="360" w:hanging="360"/>
        <w:rPr>
          <w:rFonts w:asciiTheme="minorHAnsi" w:hAnsiTheme="minorHAnsi"/>
        </w:rPr>
      </w:pPr>
      <w:bookmarkStart w:id="16" w:name="_SBIR/STTR_Evaluation_Metrics"/>
      <w:bookmarkStart w:id="17" w:name="_Toc391044056"/>
      <w:bookmarkStart w:id="18" w:name="_Toc398119186"/>
      <w:bookmarkEnd w:id="16"/>
      <w:r w:rsidRPr="00B629EF">
        <w:rPr>
          <w:rFonts w:asciiTheme="minorHAnsi" w:hAnsiTheme="minorHAnsi"/>
        </w:rPr>
        <w:t xml:space="preserve">SBIR/STTR Evaluation </w:t>
      </w:r>
      <w:r w:rsidR="002F732C" w:rsidRPr="00B629EF">
        <w:rPr>
          <w:rFonts w:asciiTheme="minorHAnsi" w:hAnsiTheme="minorHAnsi"/>
        </w:rPr>
        <w:t xml:space="preserve">Metrics and </w:t>
      </w:r>
      <w:r w:rsidRPr="00B629EF">
        <w:rPr>
          <w:rFonts w:asciiTheme="minorHAnsi" w:hAnsiTheme="minorHAnsi"/>
        </w:rPr>
        <w:t>Standards</w:t>
      </w:r>
      <w:bookmarkEnd w:id="17"/>
      <w:bookmarkEnd w:id="18"/>
    </w:p>
    <w:p w14:paraId="640C2EE4" w14:textId="595C7AFD" w:rsidR="009A2E91" w:rsidRDefault="0009710E" w:rsidP="005700A5">
      <w:pPr>
        <w:spacing w:after="120"/>
      </w:pPr>
      <w:r>
        <w:t>The NAS Study acknowledged the difficulty in assessing the value of the SBIR/STTR program, given the different missions of each of the program’s participating agenc</w:t>
      </w:r>
      <w:r w:rsidR="00D61A4A">
        <w:t>ies</w:t>
      </w:r>
      <w:r>
        <w:t>. As a result, t</w:t>
      </w:r>
      <w:r w:rsidR="00A20C83">
        <w:t xml:space="preserve">he </w:t>
      </w:r>
      <w:r w:rsidR="00A56A30">
        <w:t>Rea</w:t>
      </w:r>
      <w:r w:rsidR="00B51A2F">
        <w:t>uthorization Act</w:t>
      </w:r>
      <w:r w:rsidR="00A20C83">
        <w:t xml:space="preserve"> required each participating agency to</w:t>
      </w:r>
      <w:r w:rsidR="005700A5">
        <w:t xml:space="preserve"> </w:t>
      </w:r>
      <w:r w:rsidR="009A2E91">
        <w:t>develop metrics to evaluate the effectiveness and the benefit to the people of the United States of the SBIR program and the STTR pro</w:t>
      </w:r>
      <w:r w:rsidR="005700A5">
        <w:t>gram of the Federal agency that:</w:t>
      </w:r>
    </w:p>
    <w:p w14:paraId="640C2EE5" w14:textId="14507422" w:rsidR="009A2E91" w:rsidRDefault="009A2E91" w:rsidP="005700A5">
      <w:pPr>
        <w:pStyle w:val="ListParagraph"/>
        <w:numPr>
          <w:ilvl w:val="0"/>
          <w:numId w:val="22"/>
        </w:numPr>
        <w:spacing w:after="120"/>
        <w:ind w:left="1080" w:hanging="360"/>
      </w:pPr>
      <w:r>
        <w:t>are science-based and statistically driven;</w:t>
      </w:r>
    </w:p>
    <w:p w14:paraId="640C2EE6" w14:textId="024AF879" w:rsidR="009A2E91" w:rsidRDefault="009A2E91" w:rsidP="005700A5">
      <w:pPr>
        <w:pStyle w:val="ListParagraph"/>
        <w:numPr>
          <w:ilvl w:val="0"/>
          <w:numId w:val="22"/>
        </w:numPr>
        <w:tabs>
          <w:tab w:val="left" w:pos="720"/>
          <w:tab w:val="left" w:pos="1440"/>
          <w:tab w:val="left" w:pos="2160"/>
          <w:tab w:val="left" w:pos="2880"/>
          <w:tab w:val="left" w:pos="3600"/>
          <w:tab w:val="left" w:pos="4320"/>
          <w:tab w:val="left" w:pos="5040"/>
          <w:tab w:val="left" w:pos="6000"/>
        </w:tabs>
        <w:spacing w:after="120"/>
        <w:ind w:left="1080" w:hanging="360"/>
      </w:pPr>
      <w:r>
        <w:t>reflect the mission of the Federal agency; and</w:t>
      </w:r>
      <w:r w:rsidR="005700A5">
        <w:tab/>
      </w:r>
    </w:p>
    <w:p w14:paraId="640C2EE7" w14:textId="796ED9F3" w:rsidR="009A2E91" w:rsidRDefault="009A2E91" w:rsidP="005700A5">
      <w:pPr>
        <w:pStyle w:val="ListParagraph"/>
        <w:numPr>
          <w:ilvl w:val="0"/>
          <w:numId w:val="22"/>
        </w:numPr>
        <w:spacing w:after="120"/>
        <w:ind w:left="1080" w:hanging="360"/>
      </w:pPr>
      <w:r>
        <w:t>include factors relating to the economic impact of the programs.</w:t>
      </w:r>
    </w:p>
    <w:p w14:paraId="640C2EE9" w14:textId="539F198F" w:rsidR="00B301BF" w:rsidRDefault="00D61A4A" w:rsidP="009A2E91">
      <w:r>
        <w:t>The p</w:t>
      </w:r>
      <w:r w:rsidR="00A20C83">
        <w:t xml:space="preserve">articipating agencies agreed that a standard set of metrics </w:t>
      </w:r>
      <w:r w:rsidR="0009710E">
        <w:t>are</w:t>
      </w:r>
      <w:r w:rsidR="00A20C83">
        <w:t xml:space="preserve"> </w:t>
      </w:r>
      <w:r w:rsidR="00B51A2F">
        <w:t xml:space="preserve">more </w:t>
      </w:r>
      <w:r w:rsidR="00A20C83">
        <w:t xml:space="preserve">appropriate in order to simplify the evaluation process. </w:t>
      </w:r>
      <w:r w:rsidR="00B301BF">
        <w:t xml:space="preserve">By examining the SBIR/STTR process and objectives, evaluation criteria can be categorized as shown in the following chart.  </w:t>
      </w:r>
    </w:p>
    <w:bookmarkStart w:id="19" w:name="OLE_LINK3"/>
    <w:bookmarkStart w:id="20" w:name="_MON_1439098984"/>
    <w:bookmarkEnd w:id="20"/>
    <w:p w14:paraId="640C2EEB" w14:textId="308164A6" w:rsidR="00B301BF" w:rsidRDefault="005700A5" w:rsidP="00B75CF7">
      <w:pPr>
        <w:pBdr>
          <w:top w:val="single" w:sz="4" w:space="1" w:color="auto"/>
          <w:left w:val="single" w:sz="4" w:space="4" w:color="auto"/>
          <w:bottom w:val="single" w:sz="4" w:space="1" w:color="auto"/>
          <w:right w:val="single" w:sz="4" w:space="4" w:color="auto"/>
        </w:pBdr>
        <w:jc w:val="center"/>
      </w:pPr>
      <w:r>
        <w:object w:dxaOrig="317" w:dyaOrig="238" w14:anchorId="640C3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6.75pt;height:176.25pt" o:ole="">
            <v:imagedata r:id="rId24" o:title="" croptop="4199f" cropbottom="9604f"/>
          </v:shape>
          <o:OLEObject Type="Embed" ProgID="PowerPoint.Slide.12" ShapeID="_x0000_i1026" DrawAspect="Content" ObjectID="_1488491202" r:id="rId25"/>
        </w:object>
      </w:r>
      <w:bookmarkEnd w:id="19"/>
    </w:p>
    <w:p w14:paraId="640C2EEE" w14:textId="6EFEF0B2" w:rsidR="0026193A" w:rsidRDefault="002A41E2" w:rsidP="005700A5">
      <w:pPr>
        <w:spacing w:after="120"/>
      </w:pPr>
      <w:r>
        <w:lastRenderedPageBreak/>
        <w:t>Each of these categories is described below:</w:t>
      </w:r>
    </w:p>
    <w:p w14:paraId="640C2EEF" w14:textId="6D881F8D" w:rsidR="0026193A" w:rsidRDefault="0026193A" w:rsidP="005700A5">
      <w:pPr>
        <w:pStyle w:val="ListParagraph"/>
        <w:numPr>
          <w:ilvl w:val="0"/>
          <w:numId w:val="5"/>
        </w:numPr>
        <w:spacing w:after="120"/>
      </w:pPr>
      <w:r w:rsidRPr="00355BAD">
        <w:rPr>
          <w:b/>
          <w:i/>
          <w:color w:val="0070C0"/>
        </w:rPr>
        <w:t>Outreach</w:t>
      </w:r>
      <w:r w:rsidR="002F732C" w:rsidRPr="00355BAD">
        <w:rPr>
          <w:color w:val="0070C0"/>
        </w:rPr>
        <w:t xml:space="preserve"> </w:t>
      </w:r>
      <w:r w:rsidR="002F732C">
        <w:t xml:space="preserve">– This </w:t>
      </w:r>
      <w:r w:rsidR="00B45D3C">
        <w:t>category assesses</w:t>
      </w:r>
      <w:r w:rsidR="002F732C">
        <w:t xml:space="preserve"> both general and targeted outreach of the SBIR/STTR program. </w:t>
      </w:r>
      <w:r w:rsidR="00B45D3C">
        <w:t xml:space="preserve">All agencies are better served by increasing the number of new qualified applicants to the program as a larger pool of qualified applicants would </w:t>
      </w:r>
      <w:r w:rsidR="00E27963">
        <w:t xml:space="preserve">likely </w:t>
      </w:r>
      <w:r w:rsidR="00B45D3C">
        <w:t>yield better returns for the agencies</w:t>
      </w:r>
      <w:r w:rsidR="00012492">
        <w:t xml:space="preserve"> from a successful technology transfer, commercialization, and/or scale up in product deployment and growth opportunity</w:t>
      </w:r>
      <w:r w:rsidR="00B45D3C">
        <w:t>. However, Congress has specifically identified the need to increase outreach to entrepreneurs that have been historically underserved</w:t>
      </w:r>
      <w:r w:rsidR="00C9764C">
        <w:t xml:space="preserve"> and socially disadvantaged</w:t>
      </w:r>
      <w:r w:rsidR="00B45D3C">
        <w:t>.</w:t>
      </w:r>
      <w:r w:rsidR="003117F4">
        <w:t xml:space="preserve"> </w:t>
      </w:r>
      <w:r w:rsidR="00B45D3C">
        <w:t xml:space="preserve">This includes businesses owned by </w:t>
      </w:r>
      <w:r w:rsidR="005155A4">
        <w:t xml:space="preserve">women or </w:t>
      </w:r>
      <w:r w:rsidR="00B45D3C">
        <w:t>socially and economically disa</w:t>
      </w:r>
      <w:r w:rsidR="00E27963">
        <w:t xml:space="preserve">dvantaged groups and </w:t>
      </w:r>
      <w:r w:rsidR="005155A4">
        <w:t xml:space="preserve">reaching out to geographic areas </w:t>
      </w:r>
      <w:r w:rsidR="00CF785A">
        <w:t>where small business concerns are located but</w:t>
      </w:r>
      <w:r w:rsidR="005155A4">
        <w:t xml:space="preserve"> historically have not received many SBIR/STTR awards.</w:t>
      </w:r>
      <w:r w:rsidR="00514218">
        <w:t xml:space="preserve">  In addition, some of the new Reauthorization Act </w:t>
      </w:r>
      <w:r w:rsidR="00CE4CD8">
        <w:t xml:space="preserve">initiatives are focused specifically on improved outreach. Assessing the effectiveness of these initiatives is also important. </w:t>
      </w:r>
    </w:p>
    <w:p w14:paraId="640C2EF1" w14:textId="1A2F5332" w:rsidR="00514218" w:rsidRDefault="008240C7" w:rsidP="005700A5">
      <w:pPr>
        <w:pStyle w:val="ListParagraph"/>
        <w:numPr>
          <w:ilvl w:val="0"/>
          <w:numId w:val="5"/>
        </w:numPr>
        <w:spacing w:after="120"/>
      </w:pPr>
      <w:r>
        <w:rPr>
          <w:b/>
          <w:i/>
          <w:color w:val="0070C0"/>
        </w:rPr>
        <w:t>Complianc</w:t>
      </w:r>
      <w:r w:rsidR="00CF785A">
        <w:rPr>
          <w:b/>
          <w:i/>
          <w:color w:val="0070C0"/>
        </w:rPr>
        <w:t>e</w:t>
      </w:r>
      <w:r w:rsidR="00CE4CD8" w:rsidRPr="00355BAD">
        <w:rPr>
          <w:b/>
          <w:i/>
          <w:color w:val="0070C0"/>
        </w:rPr>
        <w:t xml:space="preserve"> and Efficiency</w:t>
      </w:r>
      <w:r w:rsidR="005155A4" w:rsidRPr="00355BAD">
        <w:rPr>
          <w:color w:val="0070C0"/>
        </w:rPr>
        <w:t xml:space="preserve"> </w:t>
      </w:r>
      <w:r w:rsidR="00514218">
        <w:t>–</w:t>
      </w:r>
      <w:r w:rsidR="005155A4">
        <w:t xml:space="preserve"> </w:t>
      </w:r>
      <w:r w:rsidR="00CE4CD8">
        <w:t>This category addresses participating agency complianc</w:t>
      </w:r>
      <w:r w:rsidR="00CF785A">
        <w:t>e</w:t>
      </w:r>
      <w:r w:rsidR="00CE4CD8">
        <w:t xml:space="preserve"> with</w:t>
      </w:r>
      <w:r w:rsidR="00CF785A">
        <w:t xml:space="preserve"> the</w:t>
      </w:r>
      <w:r w:rsidR="00CE4CD8">
        <w:t xml:space="preserve"> SBIR/STTR statutory requirements. This includes providing funding </w:t>
      </w:r>
      <w:r w:rsidR="00CF785A">
        <w:t>for SBIR and STTR awards that satisfies the minimum</w:t>
      </w:r>
      <w:r w:rsidR="00CE4CD8">
        <w:t xml:space="preserve"> levels identified by statute, </w:t>
      </w:r>
      <w:r w:rsidR="00CF785A">
        <w:t xml:space="preserve">including the proper </w:t>
      </w:r>
      <w:r w:rsidR="00CE4CD8">
        <w:t>data requirements</w:t>
      </w:r>
      <w:r w:rsidR="00CF785A">
        <w:t xml:space="preserve"> in SBIR and STTR awards</w:t>
      </w:r>
      <w:r w:rsidR="00CE4CD8">
        <w:t xml:space="preserve">, processing </w:t>
      </w:r>
      <w:r w:rsidR="006370E9">
        <w:t xml:space="preserve">reduction improvements, </w:t>
      </w:r>
      <w:r w:rsidR="00566561">
        <w:t xml:space="preserve">and </w:t>
      </w:r>
      <w:r w:rsidR="006370E9">
        <w:t xml:space="preserve">reduction </w:t>
      </w:r>
      <w:r w:rsidR="00566561">
        <w:t>in FWA</w:t>
      </w:r>
      <w:r w:rsidR="006370E9">
        <w:t>.</w:t>
      </w:r>
    </w:p>
    <w:p w14:paraId="640C2EF3" w14:textId="24975917" w:rsidR="007320A4" w:rsidRDefault="0026193A" w:rsidP="005700A5">
      <w:pPr>
        <w:pStyle w:val="ListParagraph"/>
        <w:numPr>
          <w:ilvl w:val="0"/>
          <w:numId w:val="5"/>
        </w:numPr>
        <w:spacing w:after="120"/>
      </w:pPr>
      <w:r w:rsidRPr="00355BAD">
        <w:rPr>
          <w:b/>
          <w:i/>
          <w:color w:val="0070C0"/>
        </w:rPr>
        <w:t>Commercialization</w:t>
      </w:r>
      <w:r w:rsidR="007F0C30" w:rsidRPr="00355BAD">
        <w:rPr>
          <w:b/>
          <w:i/>
          <w:color w:val="0070C0"/>
        </w:rPr>
        <w:t xml:space="preserve"> &amp; Other Economic</w:t>
      </w:r>
      <w:r w:rsidR="006370E9" w:rsidRPr="00355BAD">
        <w:rPr>
          <w:b/>
          <w:i/>
          <w:color w:val="0070C0"/>
        </w:rPr>
        <w:t xml:space="preserve"> </w:t>
      </w:r>
      <w:r w:rsidR="006370E9">
        <w:rPr>
          <w:b/>
          <w:i/>
        </w:rPr>
        <w:t xml:space="preserve">– </w:t>
      </w:r>
      <w:r w:rsidR="00705E43">
        <w:t>Ultimately, S</w:t>
      </w:r>
      <w:r w:rsidR="00E27963">
        <w:t xml:space="preserve">BIR/STTR program success depends on the </w:t>
      </w:r>
      <w:r w:rsidR="00CF785A">
        <w:t>commercialization of the</w:t>
      </w:r>
      <w:r w:rsidR="00705E43">
        <w:t xml:space="preserve"> </w:t>
      </w:r>
      <w:r w:rsidR="00E27963">
        <w:t>technology</w:t>
      </w:r>
      <w:r w:rsidR="00CF785A">
        <w:t xml:space="preserve"> created and supported through the SBIR and STTR awards</w:t>
      </w:r>
      <w:r w:rsidR="00E27963">
        <w:t xml:space="preserve"> in</w:t>
      </w:r>
      <w:r w:rsidR="00705E43">
        <w:t>to</w:t>
      </w:r>
      <w:r w:rsidR="00E27963">
        <w:t xml:space="preserve"> products</w:t>
      </w:r>
      <w:r w:rsidR="00CF785A">
        <w:t xml:space="preserve"> and services available for purchase by the Government, private sector, and the public</w:t>
      </w:r>
      <w:r w:rsidR="00E27963">
        <w:t xml:space="preserve">.   </w:t>
      </w:r>
      <w:r w:rsidR="006F20A3">
        <w:t>Congress has concerns that there may be businesses that receive multiple awards and never achieve</w:t>
      </w:r>
      <w:r w:rsidR="00654A01">
        <w:t xml:space="preserve"> commercialization.  </w:t>
      </w:r>
      <w:r w:rsidR="000034D3">
        <w:t xml:space="preserve">Section 5165 of the Reauthorization Act requires the Administration to establish a minimum </w:t>
      </w:r>
      <w:r w:rsidR="008240C7">
        <w:t>commercialization</w:t>
      </w:r>
      <w:r w:rsidR="00B61EAA">
        <w:t xml:space="preserve"> </w:t>
      </w:r>
      <w:r w:rsidR="000034D3">
        <w:t xml:space="preserve">performance standard for </w:t>
      </w:r>
      <w:r w:rsidR="00B61EAA">
        <w:t xml:space="preserve">continued </w:t>
      </w:r>
      <w:r w:rsidR="00CF785A">
        <w:t>receipt of</w:t>
      </w:r>
      <w:r w:rsidR="005C7C12">
        <w:t xml:space="preserve"> Phase I</w:t>
      </w:r>
      <w:r w:rsidR="00CF785A">
        <w:t xml:space="preserve"> awards</w:t>
      </w:r>
      <w:r w:rsidR="00B61EAA">
        <w:t xml:space="preserve">.  SBA </w:t>
      </w:r>
      <w:r w:rsidR="00935D6C">
        <w:t xml:space="preserve">published </w:t>
      </w:r>
      <w:r w:rsidR="005C7C12">
        <w:t xml:space="preserve">this </w:t>
      </w:r>
      <w:r w:rsidR="00935D6C">
        <w:t xml:space="preserve">commercialization </w:t>
      </w:r>
      <w:r w:rsidR="005C7C12">
        <w:t xml:space="preserve">requirement </w:t>
      </w:r>
      <w:r w:rsidR="00935D6C">
        <w:t xml:space="preserve">in the Federal Register, </w:t>
      </w:r>
      <w:hyperlink r:id="rId26" w:history="1">
        <w:r w:rsidR="00935D6C" w:rsidRPr="00935D6C">
          <w:rPr>
            <w:rStyle w:val="Hyperlink"/>
            <w:rFonts w:ascii="Calibri" w:hAnsi="Calibri" w:cs="Calibri"/>
            <w:noProof w:val="0"/>
          </w:rPr>
          <w:t>78 F</w:t>
        </w:r>
        <w:r w:rsidR="00CF785A">
          <w:rPr>
            <w:rStyle w:val="Hyperlink"/>
            <w:rFonts w:ascii="Calibri" w:hAnsi="Calibri" w:cs="Calibri"/>
            <w:noProof w:val="0"/>
          </w:rPr>
          <w:t>ed. Reg.</w:t>
        </w:r>
        <w:r w:rsidR="00935D6C" w:rsidRPr="00935D6C">
          <w:rPr>
            <w:rStyle w:val="Hyperlink"/>
            <w:rFonts w:ascii="Calibri" w:hAnsi="Calibri" w:cs="Calibri"/>
            <w:noProof w:val="0"/>
          </w:rPr>
          <w:t xml:space="preserve"> 48537</w:t>
        </w:r>
      </w:hyperlink>
      <w:r w:rsidR="00CF785A">
        <w:rPr>
          <w:rStyle w:val="Hyperlink"/>
          <w:rFonts w:ascii="Calibri" w:hAnsi="Calibri" w:cs="Calibri"/>
          <w:noProof w:val="0"/>
        </w:rPr>
        <w:t xml:space="preserve"> (Aug. 8, 2013)</w:t>
      </w:r>
      <w:r w:rsidR="00B61EAA">
        <w:t xml:space="preserve">. </w:t>
      </w:r>
      <w:r w:rsidR="00935D6C">
        <w:t xml:space="preserve">The purpose of this </w:t>
      </w:r>
      <w:r w:rsidR="005C7C12">
        <w:t xml:space="preserve">requirement </w:t>
      </w:r>
      <w:r w:rsidR="00935D6C">
        <w:t xml:space="preserve">is to </w:t>
      </w:r>
      <w:r w:rsidR="00962166">
        <w:t xml:space="preserve">establish a certain level of </w:t>
      </w:r>
      <w:r w:rsidR="00B10DBF">
        <w:t>commercialization</w:t>
      </w:r>
      <w:r w:rsidR="00962166">
        <w:t xml:space="preserve"> success in order for a small business to </w:t>
      </w:r>
      <w:r w:rsidR="00866BBC">
        <w:t xml:space="preserve">continue to </w:t>
      </w:r>
      <w:r w:rsidR="005C7C12">
        <w:t xml:space="preserve">be eligible  </w:t>
      </w:r>
      <w:r w:rsidR="00866BBC">
        <w:t>for the receipt of</w:t>
      </w:r>
      <w:r w:rsidR="00962166">
        <w:t xml:space="preserve"> new </w:t>
      </w:r>
      <w:r w:rsidR="005C7C12">
        <w:t xml:space="preserve">Phase I </w:t>
      </w:r>
      <w:r w:rsidR="00962166">
        <w:t xml:space="preserve">awards.  </w:t>
      </w:r>
      <w:r w:rsidR="00866BBC">
        <w:t>I</w:t>
      </w:r>
      <w:r w:rsidR="00935D6C">
        <w:t>t may take several years to achieve a significant amount of sales and investment</w:t>
      </w:r>
      <w:r w:rsidR="00866BBC">
        <w:t xml:space="preserve"> and therefore</w:t>
      </w:r>
      <w:r w:rsidR="00962166">
        <w:t xml:space="preserve"> a </w:t>
      </w:r>
      <w:r w:rsidR="005C7C12">
        <w:t xml:space="preserve">more comprehensive measure of </w:t>
      </w:r>
      <w:r w:rsidR="008240C7">
        <w:t>commercialization</w:t>
      </w:r>
      <w:r w:rsidR="00935D6C">
        <w:t xml:space="preserve"> should be identified to evaluate the program</w:t>
      </w:r>
      <w:r w:rsidR="007320A4">
        <w:t>’s</w:t>
      </w:r>
      <w:r w:rsidR="00935D6C">
        <w:t xml:space="preserve"> success</w:t>
      </w:r>
      <w:r w:rsidR="00B61EAA">
        <w:t xml:space="preserve">.  </w:t>
      </w:r>
    </w:p>
    <w:p w14:paraId="640C2EF5" w14:textId="5D419C79" w:rsidR="00B61EAA" w:rsidRDefault="00935D6C" w:rsidP="005700A5">
      <w:pPr>
        <w:pStyle w:val="ListParagraph"/>
        <w:spacing w:after="120"/>
      </w:pPr>
      <w:r>
        <w:t xml:space="preserve">Although </w:t>
      </w:r>
      <w:r w:rsidR="005C7C12">
        <w:t xml:space="preserve">SBIR/STTR </w:t>
      </w:r>
      <w:r>
        <w:t xml:space="preserve">commercialization success has historically been measured as the percentage of Phase II awards that achieve some level of commercialization, data should be collected so that the </w:t>
      </w:r>
      <w:r w:rsidR="00012492">
        <w:t xml:space="preserve">potential economic and technology development </w:t>
      </w:r>
      <w:r>
        <w:t>returns on SBIR &amp; STTR award dollars can be measured. Job data should also be collected to understand the impact from th</w:t>
      </w:r>
      <w:r w:rsidR="00566561">
        <w:t>ese</w:t>
      </w:r>
      <w:r>
        <w:t xml:space="preserve"> </w:t>
      </w:r>
      <w:r w:rsidR="00AD400E">
        <w:t>F</w:t>
      </w:r>
      <w:r>
        <w:t>ederal program</w:t>
      </w:r>
      <w:r w:rsidR="00566561">
        <w:t>s</w:t>
      </w:r>
      <w:r>
        <w:t>.</w:t>
      </w:r>
    </w:p>
    <w:p w14:paraId="640C2EF7" w14:textId="52D2B4CD" w:rsidR="007320A4" w:rsidRDefault="00570E3F" w:rsidP="008A799A">
      <w:hyperlink w:anchor="_Appendix_A_–Evaluation" w:history="1">
        <w:r w:rsidR="002F732C" w:rsidRPr="003E7613">
          <w:rPr>
            <w:rStyle w:val="Hyperlink"/>
            <w:noProof w:val="0"/>
          </w:rPr>
          <w:t>Appendix A</w:t>
        </w:r>
      </w:hyperlink>
      <w:r w:rsidR="002F732C">
        <w:t xml:space="preserve"> </w:t>
      </w:r>
      <w:r w:rsidR="00914125">
        <w:t xml:space="preserve">identifies proposed metrics/standards </w:t>
      </w:r>
      <w:r w:rsidR="007320A4">
        <w:t>for</w:t>
      </w:r>
      <w:r w:rsidR="00914125">
        <w:t xml:space="preserve"> each of the above categories. </w:t>
      </w:r>
      <w:r w:rsidR="00CA2DF5">
        <w:t xml:space="preserve">These metrics should be </w:t>
      </w:r>
      <w:r w:rsidR="00566561">
        <w:t>assessed for feasibility and budgetary constraints. In addition, the IPC should review metrics on a periodic basis for continued improvement.</w:t>
      </w:r>
    </w:p>
    <w:p w14:paraId="640C2EF8" w14:textId="77777777" w:rsidR="007320A4" w:rsidRDefault="007320A4">
      <w:pPr>
        <w:jc w:val="left"/>
      </w:pPr>
    </w:p>
    <w:p w14:paraId="640C2EF9" w14:textId="77777777" w:rsidR="007320A4" w:rsidRDefault="007320A4">
      <w:pPr>
        <w:jc w:val="left"/>
      </w:pPr>
    </w:p>
    <w:p w14:paraId="640C2EFA" w14:textId="77777777" w:rsidR="007320A4" w:rsidRDefault="007320A4">
      <w:pPr>
        <w:jc w:val="left"/>
      </w:pPr>
    </w:p>
    <w:p w14:paraId="640C2EFB" w14:textId="77777777" w:rsidR="00C102B9" w:rsidRDefault="00C102B9">
      <w:pPr>
        <w:jc w:val="left"/>
      </w:pPr>
      <w:r>
        <w:br w:type="page"/>
      </w:r>
    </w:p>
    <w:p w14:paraId="640C2EFD" w14:textId="77777777" w:rsidR="00C102B9" w:rsidRPr="00B629EF" w:rsidRDefault="00C102B9" w:rsidP="00C102B9">
      <w:pPr>
        <w:pStyle w:val="Heading1"/>
        <w:rPr>
          <w:rFonts w:asciiTheme="minorHAnsi" w:hAnsiTheme="minorHAnsi"/>
        </w:rPr>
      </w:pPr>
      <w:bookmarkStart w:id="21" w:name="_Toc391044057"/>
      <w:bookmarkStart w:id="22" w:name="_Toc398119187"/>
      <w:bookmarkStart w:id="23" w:name="OLE_LINK1"/>
      <w:bookmarkStart w:id="24" w:name="OLE_LINK2"/>
      <w:r w:rsidRPr="00B629EF">
        <w:rPr>
          <w:rFonts w:asciiTheme="minorHAnsi" w:hAnsiTheme="minorHAnsi"/>
        </w:rPr>
        <w:lastRenderedPageBreak/>
        <w:t>Recommendations / Next Steps</w:t>
      </w:r>
      <w:bookmarkEnd w:id="21"/>
      <w:bookmarkEnd w:id="22"/>
    </w:p>
    <w:bookmarkEnd w:id="23"/>
    <w:bookmarkEnd w:id="24"/>
    <w:p w14:paraId="640C2EFE" w14:textId="77777777" w:rsidR="00C102B9" w:rsidRDefault="00C102B9" w:rsidP="006856DA"/>
    <w:p w14:paraId="640C2EFF" w14:textId="77777777" w:rsidR="008240C7" w:rsidRDefault="00877CAE" w:rsidP="005700A5">
      <w:pPr>
        <w:spacing w:after="120"/>
      </w:pPr>
      <w:r>
        <w:t xml:space="preserve">In summary, we recommend </w:t>
      </w:r>
      <w:r w:rsidR="008240C7">
        <w:t>the following:</w:t>
      </w:r>
    </w:p>
    <w:p w14:paraId="640C2F01" w14:textId="786F0645" w:rsidR="00D04657" w:rsidRDefault="00D61A4A" w:rsidP="005700A5">
      <w:pPr>
        <w:pStyle w:val="ListParagraph"/>
        <w:numPr>
          <w:ilvl w:val="0"/>
          <w:numId w:val="9"/>
        </w:numPr>
        <w:spacing w:after="120"/>
      </w:pPr>
      <w:r>
        <w:t>It is recommended that t</w:t>
      </w:r>
      <w:r w:rsidR="00D04657">
        <w:t xml:space="preserve">he IPC adopt the </w:t>
      </w:r>
      <w:r>
        <w:t>six-</w:t>
      </w:r>
      <w:r w:rsidR="00D04657">
        <w:t xml:space="preserve">step evaluation framework described in </w:t>
      </w:r>
      <w:r w:rsidR="00AD400E">
        <w:t xml:space="preserve">section </w:t>
      </w:r>
      <w:hyperlink w:anchor="_SBIR/STTR_Program_Evaluation" w:history="1">
        <w:r w:rsidR="00D04657" w:rsidRPr="00566561">
          <w:rPr>
            <w:rStyle w:val="Hyperlink"/>
            <w:rFonts w:ascii="Calibri" w:hAnsi="Calibri" w:cs="Calibri"/>
            <w:noProof w:val="0"/>
          </w:rPr>
          <w:t>3a</w:t>
        </w:r>
      </w:hyperlink>
      <w:r w:rsidR="00D04657">
        <w:t xml:space="preserve"> which includes: 1) Engage Stakeholders; 2) Describe the Program; 3) Focus the Design; 4) Gather the Data; 5) Draw Conclusions; and 6) Present Findings.  </w:t>
      </w:r>
    </w:p>
    <w:p w14:paraId="640C2F03" w14:textId="56507130" w:rsidR="008240C7" w:rsidRDefault="00AD400E" w:rsidP="005700A5">
      <w:pPr>
        <w:pStyle w:val="ListParagraph"/>
        <w:numPr>
          <w:ilvl w:val="0"/>
          <w:numId w:val="9"/>
        </w:numPr>
        <w:spacing w:after="120"/>
      </w:pPr>
      <w:r>
        <w:t>It is recommended that f</w:t>
      </w:r>
      <w:r w:rsidR="008E1CF3">
        <w:t>urther</w:t>
      </w:r>
      <w:r w:rsidR="00BF24B5">
        <w:t xml:space="preserve"> investigation be performed to assess </w:t>
      </w:r>
      <w:r w:rsidR="00106EA8">
        <w:t xml:space="preserve">the feasibility </w:t>
      </w:r>
      <w:r w:rsidR="008E1CF3">
        <w:t xml:space="preserve">of </w:t>
      </w:r>
      <w:r w:rsidR="00106EA8">
        <w:t xml:space="preserve">the </w:t>
      </w:r>
      <w:r w:rsidR="00D251BB">
        <w:t>measurements</w:t>
      </w:r>
      <w:r w:rsidR="00106EA8">
        <w:t xml:space="preserve"> identified in </w:t>
      </w:r>
      <w:hyperlink w:anchor="_Appendix_A_–" w:history="1">
        <w:r w:rsidR="00106EA8" w:rsidRPr="00566561">
          <w:rPr>
            <w:rStyle w:val="Hyperlink"/>
            <w:rFonts w:ascii="Calibri" w:hAnsi="Calibri" w:cs="Calibri"/>
            <w:noProof w:val="0"/>
          </w:rPr>
          <w:t>Appendix A</w:t>
        </w:r>
      </w:hyperlink>
      <w:r w:rsidR="00AA62D6">
        <w:t xml:space="preserve"> (based on information gathered by NAS independent study and concurrently the IPC’s Fueling Small Business Innovation working groups)</w:t>
      </w:r>
      <w:r w:rsidR="003117F4">
        <w:t>.</w:t>
      </w:r>
      <w:r w:rsidR="00106EA8">
        <w:t xml:space="preserve"> </w:t>
      </w:r>
      <w:r w:rsidR="008E1CF3">
        <w:t xml:space="preserve">If the needed data is unavailable or the measurement is too difficult or costly to generate, it may need to be removed.  </w:t>
      </w:r>
    </w:p>
    <w:p w14:paraId="640C2F05" w14:textId="57092813" w:rsidR="00984097" w:rsidRDefault="00D61A4A" w:rsidP="005700A5">
      <w:pPr>
        <w:pStyle w:val="ListParagraph"/>
        <w:numPr>
          <w:ilvl w:val="0"/>
          <w:numId w:val="9"/>
        </w:numPr>
        <w:spacing w:after="120"/>
      </w:pPr>
      <w:r>
        <w:t>It is recommended that, a</w:t>
      </w:r>
      <w:r w:rsidR="008E1CF3">
        <w:t xml:space="preserve">fter </w:t>
      </w:r>
      <w:r w:rsidR="00962166">
        <w:t>assessing feasibility</w:t>
      </w:r>
      <w:r w:rsidR="008E1CF3">
        <w:t>, t</w:t>
      </w:r>
      <w:r w:rsidR="00CA2DF5">
        <w:t xml:space="preserve">he SBA revise its </w:t>
      </w:r>
      <w:r w:rsidR="00012492">
        <w:t xml:space="preserve">commercialization </w:t>
      </w:r>
      <w:r w:rsidR="00CA2DF5">
        <w:t>data</w:t>
      </w:r>
      <w:r w:rsidR="00D04657">
        <w:t xml:space="preserve">base as necessary to collect the necessary data, </w:t>
      </w:r>
      <w:r w:rsidR="008E1CF3">
        <w:t xml:space="preserve">automatically </w:t>
      </w:r>
      <w:r w:rsidR="00CA2DF5">
        <w:t>generate these metrics</w:t>
      </w:r>
      <w:r w:rsidR="00D04657">
        <w:t>,</w:t>
      </w:r>
      <w:r w:rsidR="00CA2DF5">
        <w:t xml:space="preserve"> and make the</w:t>
      </w:r>
      <w:r>
        <w:t xml:space="preserve"> metrics</w:t>
      </w:r>
      <w:r w:rsidR="00CA2DF5">
        <w:t xml:space="preserve"> available on its website at </w:t>
      </w:r>
      <w:hyperlink r:id="rId27" w:history="1">
        <w:r w:rsidR="00CA2DF5" w:rsidRPr="001945ED">
          <w:rPr>
            <w:rStyle w:val="Hyperlink"/>
            <w:rFonts w:ascii="Calibri" w:hAnsi="Calibri" w:cs="Calibri"/>
            <w:noProof w:val="0"/>
          </w:rPr>
          <w:t>www.SBIR.gov</w:t>
        </w:r>
      </w:hyperlink>
      <w:r w:rsidR="00CA2DF5">
        <w:t xml:space="preserve">.   </w:t>
      </w:r>
    </w:p>
    <w:p w14:paraId="640C2F09" w14:textId="203D11A0" w:rsidR="00984097" w:rsidRDefault="00D61A4A" w:rsidP="005700A5">
      <w:pPr>
        <w:pStyle w:val="ListParagraph"/>
        <w:numPr>
          <w:ilvl w:val="0"/>
          <w:numId w:val="9"/>
        </w:numPr>
        <w:spacing w:after="120"/>
      </w:pPr>
      <w:r>
        <w:t xml:space="preserve">It is recommended that </w:t>
      </w:r>
      <w:r w:rsidR="00984097">
        <w:t xml:space="preserve">SBA </w:t>
      </w:r>
      <w:r w:rsidR="009F2747">
        <w:t xml:space="preserve">continually </w:t>
      </w:r>
      <w:r w:rsidR="00984097">
        <w:t xml:space="preserve">seek advice </w:t>
      </w:r>
      <w:r w:rsidR="009F2747">
        <w:t xml:space="preserve">and feedback </w:t>
      </w:r>
      <w:r w:rsidR="00984097">
        <w:t xml:space="preserve">from outside experts as to how to improve this evaluation framework.  </w:t>
      </w:r>
    </w:p>
    <w:p w14:paraId="640C2F0B" w14:textId="61D9E863" w:rsidR="008E1CF3" w:rsidRDefault="00D61A4A" w:rsidP="005700A5">
      <w:pPr>
        <w:pStyle w:val="ListParagraph"/>
        <w:numPr>
          <w:ilvl w:val="0"/>
          <w:numId w:val="9"/>
        </w:numPr>
        <w:spacing w:after="120"/>
      </w:pPr>
      <w:r>
        <w:t>It is recommended that t</w:t>
      </w:r>
      <w:r w:rsidR="008E1CF3">
        <w:t xml:space="preserve">he IPC reassess this framework and evaluation criteria on </w:t>
      </w:r>
      <w:r w:rsidR="00566561">
        <w:t>a periodic</w:t>
      </w:r>
      <w:r w:rsidR="008E1CF3">
        <w:t xml:space="preserve"> basis to make changes as needed</w:t>
      </w:r>
      <w:r w:rsidR="009F2747">
        <w:t xml:space="preserve"> via the Fueling Small Business Innovation working groups</w:t>
      </w:r>
      <w:r w:rsidR="008E1CF3">
        <w:t>.</w:t>
      </w:r>
    </w:p>
    <w:p w14:paraId="640C2F0C" w14:textId="77777777" w:rsidR="008240C7" w:rsidRDefault="008240C7" w:rsidP="008240C7">
      <w:pPr>
        <w:pStyle w:val="ListParagraph"/>
      </w:pPr>
    </w:p>
    <w:p w14:paraId="640C2F0D" w14:textId="77777777" w:rsidR="00877CAE" w:rsidRDefault="00877CAE" w:rsidP="006856DA"/>
    <w:p w14:paraId="640C2F0E" w14:textId="77777777" w:rsidR="00877CAE" w:rsidRDefault="00877CAE" w:rsidP="006856DA">
      <w:pPr>
        <w:sectPr w:rsidR="00877CAE" w:rsidSect="00D04657">
          <w:headerReference w:type="default" r:id="rId28"/>
          <w:footerReference w:type="default" r:id="rId29"/>
          <w:type w:val="continuous"/>
          <w:pgSz w:w="12240" w:h="15840"/>
          <w:pgMar w:top="1440" w:right="1440" w:bottom="1440" w:left="1440" w:header="720" w:footer="691" w:gutter="0"/>
          <w:pgNumType w:start="1"/>
          <w:cols w:space="720"/>
          <w:docGrid w:linePitch="360"/>
        </w:sectPr>
      </w:pPr>
    </w:p>
    <w:p w14:paraId="640C2F10" w14:textId="77777777" w:rsidR="00877CAE" w:rsidRPr="00B629EF" w:rsidRDefault="00877CAE" w:rsidP="00877CAE">
      <w:pPr>
        <w:pStyle w:val="Heading1"/>
        <w:numPr>
          <w:ilvl w:val="0"/>
          <w:numId w:val="0"/>
        </w:numPr>
        <w:ind w:left="360" w:hanging="360"/>
        <w:rPr>
          <w:rFonts w:asciiTheme="minorHAnsi" w:hAnsiTheme="minorHAnsi"/>
        </w:rPr>
      </w:pPr>
      <w:bookmarkStart w:id="25" w:name="_Appendix_A_–Evaluation"/>
      <w:bookmarkStart w:id="26" w:name="_Appendix_A_–"/>
      <w:bookmarkStart w:id="27" w:name="_Toc391044058"/>
      <w:bookmarkStart w:id="28" w:name="_Toc398119188"/>
      <w:bookmarkEnd w:id="25"/>
      <w:bookmarkEnd w:id="26"/>
      <w:r w:rsidRPr="00B629EF">
        <w:rPr>
          <w:rFonts w:asciiTheme="minorHAnsi" w:hAnsiTheme="minorHAnsi"/>
        </w:rPr>
        <w:lastRenderedPageBreak/>
        <w:t>Appendix A –</w:t>
      </w:r>
      <w:r w:rsidR="003E7613" w:rsidRPr="00B629EF">
        <w:rPr>
          <w:rFonts w:asciiTheme="minorHAnsi" w:hAnsiTheme="minorHAnsi"/>
        </w:rPr>
        <w:t xml:space="preserve"> Proposed </w:t>
      </w:r>
      <w:r w:rsidRPr="00B629EF">
        <w:rPr>
          <w:rFonts w:asciiTheme="minorHAnsi" w:hAnsiTheme="minorHAnsi"/>
        </w:rPr>
        <w:t>Evaluation Criteria</w:t>
      </w:r>
      <w:bookmarkEnd w:id="27"/>
      <w:bookmarkEnd w:id="28"/>
    </w:p>
    <w:p w14:paraId="640C2F11" w14:textId="77777777" w:rsidR="00877CAE" w:rsidRDefault="00877CAE" w:rsidP="006856DA"/>
    <w:p w14:paraId="640C2F12" w14:textId="77777777" w:rsidR="003E7613" w:rsidRDefault="003E7613" w:rsidP="006856DA">
      <w:r>
        <w:t xml:space="preserve">This appendix outlines the proposed evaluation criteria for the SBIR/STTR Program for each of the categories described in </w:t>
      </w:r>
      <w:hyperlink w:anchor="_SBIR/STTR_Evaluation_Metrics" w:history="1">
        <w:r w:rsidRPr="003E7613">
          <w:rPr>
            <w:rStyle w:val="Hyperlink"/>
            <w:noProof w:val="0"/>
          </w:rPr>
          <w:t>Section 3b</w:t>
        </w:r>
      </w:hyperlink>
      <w:r>
        <w:t>.</w:t>
      </w:r>
    </w:p>
    <w:p w14:paraId="640C2F13" w14:textId="77777777" w:rsidR="003E7613" w:rsidRDefault="003E7613" w:rsidP="006856DA"/>
    <w:p w14:paraId="640C2F14" w14:textId="77777777" w:rsidR="003E7613" w:rsidRPr="00B629EF" w:rsidRDefault="003E7613" w:rsidP="003E7613">
      <w:pPr>
        <w:pStyle w:val="Heading2"/>
        <w:tabs>
          <w:tab w:val="clear" w:pos="1080"/>
        </w:tabs>
        <w:ind w:left="360" w:hanging="360"/>
        <w:rPr>
          <w:rFonts w:asciiTheme="minorHAnsi" w:hAnsiTheme="minorHAnsi"/>
        </w:rPr>
      </w:pPr>
      <w:bookmarkStart w:id="29" w:name="_Toc391044059"/>
      <w:bookmarkStart w:id="30" w:name="_Toc398119189"/>
      <w:r w:rsidRPr="00B629EF">
        <w:rPr>
          <w:rFonts w:asciiTheme="minorHAnsi" w:hAnsiTheme="minorHAnsi"/>
        </w:rPr>
        <w:t>Outreach</w:t>
      </w:r>
      <w:bookmarkEnd w:id="29"/>
      <w:bookmarkEnd w:id="30"/>
    </w:p>
    <w:tbl>
      <w:tblPr>
        <w:tblStyle w:val="TableGrid"/>
        <w:tblW w:w="0" w:type="auto"/>
        <w:tblLook w:val="04A0" w:firstRow="1" w:lastRow="0" w:firstColumn="1" w:lastColumn="0" w:noHBand="0" w:noVBand="1"/>
      </w:tblPr>
      <w:tblGrid>
        <w:gridCol w:w="6318"/>
        <w:gridCol w:w="3618"/>
      </w:tblGrid>
      <w:tr w:rsidR="003E7613" w:rsidRPr="001E2C56" w14:paraId="640C2F18" w14:textId="77777777" w:rsidTr="008A799A">
        <w:trPr>
          <w:tblHeader/>
        </w:trPr>
        <w:tc>
          <w:tcPr>
            <w:tcW w:w="6318" w:type="dxa"/>
            <w:tcBorders>
              <w:bottom w:val="single" w:sz="4" w:space="0" w:color="auto"/>
            </w:tcBorders>
            <w:shd w:val="clear" w:color="auto" w:fill="DBE5F1" w:themeFill="accent1" w:themeFillTint="33"/>
          </w:tcPr>
          <w:p w14:paraId="640C2F16" w14:textId="77777777" w:rsidR="003E7613" w:rsidRPr="001E2C56" w:rsidRDefault="003E7613" w:rsidP="001D52E3">
            <w:pPr>
              <w:jc w:val="center"/>
              <w:rPr>
                <w:b/>
                <w:sz w:val="20"/>
              </w:rPr>
            </w:pPr>
            <w:r w:rsidRPr="001E2C56">
              <w:rPr>
                <w:b/>
                <w:sz w:val="20"/>
              </w:rPr>
              <w:t>Assessment Question</w:t>
            </w:r>
            <w:r w:rsidR="001D52E3" w:rsidRPr="001E2C56">
              <w:rPr>
                <w:b/>
                <w:sz w:val="20"/>
              </w:rPr>
              <w:t>s</w:t>
            </w:r>
            <w:r w:rsidRPr="001E2C56">
              <w:rPr>
                <w:b/>
                <w:sz w:val="20"/>
              </w:rPr>
              <w:t xml:space="preserve"> / Rationale</w:t>
            </w:r>
          </w:p>
        </w:tc>
        <w:tc>
          <w:tcPr>
            <w:tcW w:w="3618" w:type="dxa"/>
            <w:shd w:val="clear" w:color="auto" w:fill="DBE5F1" w:themeFill="accent1" w:themeFillTint="33"/>
          </w:tcPr>
          <w:p w14:paraId="640C2F17" w14:textId="3706C56B" w:rsidR="003E7613" w:rsidRPr="001E2C56" w:rsidRDefault="00012492" w:rsidP="001D52E3">
            <w:pPr>
              <w:jc w:val="center"/>
              <w:rPr>
                <w:b/>
                <w:sz w:val="20"/>
              </w:rPr>
            </w:pPr>
            <w:r>
              <w:rPr>
                <w:b/>
                <w:sz w:val="20"/>
              </w:rPr>
              <w:t xml:space="preserve">Potential </w:t>
            </w:r>
            <w:r w:rsidR="003E7613" w:rsidRPr="001E2C56">
              <w:rPr>
                <w:b/>
                <w:sz w:val="20"/>
              </w:rPr>
              <w:t>Proposed Metrics</w:t>
            </w:r>
          </w:p>
        </w:tc>
      </w:tr>
      <w:tr w:rsidR="003E7613" w:rsidRPr="001E2C56" w14:paraId="640C2F32" w14:textId="77777777" w:rsidTr="008A799A">
        <w:tc>
          <w:tcPr>
            <w:tcW w:w="6318" w:type="dxa"/>
            <w:tcBorders>
              <w:bottom w:val="single" w:sz="4" w:space="0" w:color="auto"/>
            </w:tcBorders>
          </w:tcPr>
          <w:p w14:paraId="640C2F19" w14:textId="77777777" w:rsidR="001D52E3" w:rsidRPr="001E2C56" w:rsidRDefault="001D52E3" w:rsidP="008A799A">
            <w:pPr>
              <w:pStyle w:val="ListParagraph"/>
              <w:numPr>
                <w:ilvl w:val="0"/>
                <w:numId w:val="12"/>
              </w:numPr>
              <w:ind w:left="360"/>
              <w:rPr>
                <w:sz w:val="20"/>
              </w:rPr>
            </w:pPr>
            <w:r w:rsidRPr="001E2C56">
              <w:rPr>
                <w:b/>
                <w:i/>
                <w:color w:val="0070C0"/>
                <w:sz w:val="20"/>
              </w:rPr>
              <w:t>New Applicants</w:t>
            </w:r>
            <w:r w:rsidRPr="001E2C56">
              <w:rPr>
                <w:b/>
                <w:i/>
                <w:sz w:val="20"/>
              </w:rPr>
              <w:t>:</w:t>
            </w:r>
            <w:r w:rsidRPr="001E2C56">
              <w:rPr>
                <w:sz w:val="20"/>
              </w:rPr>
              <w:t xml:space="preserve">  </w:t>
            </w:r>
          </w:p>
          <w:p w14:paraId="640C2F1A" w14:textId="77777777" w:rsidR="000524A4" w:rsidRPr="001E2C56" w:rsidRDefault="000524A4" w:rsidP="008A799A">
            <w:pPr>
              <w:pStyle w:val="ListParagraph"/>
              <w:ind w:left="360"/>
              <w:rPr>
                <w:sz w:val="20"/>
              </w:rPr>
            </w:pPr>
          </w:p>
          <w:p w14:paraId="640C2F1B" w14:textId="77777777" w:rsidR="003E7613" w:rsidRPr="001E2C56" w:rsidRDefault="001D52E3" w:rsidP="008A799A">
            <w:pPr>
              <w:pStyle w:val="ListParagraph"/>
              <w:numPr>
                <w:ilvl w:val="1"/>
                <w:numId w:val="12"/>
              </w:numPr>
              <w:ind w:left="720"/>
              <w:rPr>
                <w:sz w:val="20"/>
              </w:rPr>
            </w:pPr>
            <w:r w:rsidRPr="001E2C56">
              <w:rPr>
                <w:sz w:val="20"/>
              </w:rPr>
              <w:t>Is</w:t>
            </w:r>
            <w:r w:rsidR="003E7613" w:rsidRPr="001E2C56">
              <w:rPr>
                <w:sz w:val="20"/>
              </w:rPr>
              <w:t xml:space="preserve"> the SBIR/STTR program attracting new applicants to the program?</w:t>
            </w:r>
            <w:r w:rsidR="002B35E0" w:rsidRPr="001E2C56">
              <w:rPr>
                <w:sz w:val="20"/>
              </w:rPr>
              <w:t xml:space="preserve">  A new applicant is defined as a business that has not previously </w:t>
            </w:r>
            <w:r w:rsidRPr="001E2C56">
              <w:rPr>
                <w:sz w:val="20"/>
              </w:rPr>
              <w:t>applied to the SBIR/STTR program</w:t>
            </w:r>
            <w:r w:rsidR="002B35E0" w:rsidRPr="001E2C56">
              <w:rPr>
                <w:sz w:val="20"/>
              </w:rPr>
              <w:t>.</w:t>
            </w:r>
          </w:p>
          <w:p w14:paraId="640C2F1C" w14:textId="77777777" w:rsidR="000524A4" w:rsidRPr="001E2C56" w:rsidRDefault="000524A4" w:rsidP="008A799A">
            <w:pPr>
              <w:pStyle w:val="ListParagraph"/>
              <w:rPr>
                <w:sz w:val="20"/>
              </w:rPr>
            </w:pPr>
          </w:p>
          <w:p w14:paraId="640C2F1D" w14:textId="77777777" w:rsidR="001D52E3" w:rsidRDefault="001D52E3" w:rsidP="008A799A">
            <w:pPr>
              <w:pStyle w:val="ListParagraph"/>
              <w:numPr>
                <w:ilvl w:val="1"/>
                <w:numId w:val="12"/>
              </w:numPr>
              <w:ind w:left="720"/>
              <w:rPr>
                <w:sz w:val="20"/>
              </w:rPr>
            </w:pPr>
            <w:r w:rsidRPr="001E2C56">
              <w:rPr>
                <w:sz w:val="20"/>
              </w:rPr>
              <w:t>Is the program increasing the number of awards to first-time award winners (businesses that have never received an award)?</w:t>
            </w:r>
          </w:p>
          <w:p w14:paraId="640C2F1E" w14:textId="77777777" w:rsidR="003F27E4" w:rsidRPr="003F27E4" w:rsidRDefault="003F27E4" w:rsidP="008A799A">
            <w:pPr>
              <w:pStyle w:val="ListParagraph"/>
              <w:rPr>
                <w:sz w:val="20"/>
              </w:rPr>
            </w:pPr>
          </w:p>
          <w:p w14:paraId="640C2F1F" w14:textId="77777777" w:rsidR="003F27E4" w:rsidRPr="001E2C56" w:rsidRDefault="003F27E4" w:rsidP="008A799A">
            <w:pPr>
              <w:pStyle w:val="ListParagraph"/>
              <w:numPr>
                <w:ilvl w:val="1"/>
                <w:numId w:val="12"/>
              </w:numPr>
              <w:ind w:left="720"/>
              <w:rPr>
                <w:sz w:val="20"/>
              </w:rPr>
            </w:pPr>
            <w:r>
              <w:rPr>
                <w:sz w:val="20"/>
              </w:rPr>
              <w:t>How many times do first-time award winners apply for an award before they receive an award?</w:t>
            </w:r>
          </w:p>
          <w:p w14:paraId="640C2F20" w14:textId="77777777" w:rsidR="00917030" w:rsidRPr="001E2C56" w:rsidRDefault="00917030" w:rsidP="008A799A">
            <w:pPr>
              <w:pStyle w:val="ListParagraph"/>
              <w:rPr>
                <w:sz w:val="20"/>
              </w:rPr>
            </w:pPr>
          </w:p>
          <w:p w14:paraId="640C2F21" w14:textId="77777777" w:rsidR="00917030" w:rsidRDefault="00917030" w:rsidP="008A799A">
            <w:pPr>
              <w:pStyle w:val="ListParagraph"/>
              <w:numPr>
                <w:ilvl w:val="1"/>
                <w:numId w:val="12"/>
              </w:numPr>
              <w:ind w:left="720"/>
              <w:rPr>
                <w:sz w:val="20"/>
              </w:rPr>
            </w:pPr>
            <w:r w:rsidRPr="001E2C56">
              <w:rPr>
                <w:sz w:val="20"/>
              </w:rPr>
              <w:t>What is the cost to acquire a new applicant?</w:t>
            </w:r>
            <w:r w:rsidR="002C01A6">
              <w:rPr>
                <w:sz w:val="20"/>
              </w:rPr>
              <w:t xml:space="preserve"> (Although the cost to acquire a new applicant is difficult to assess, by looking at outreach activity costs in relation to new applicants or increase of new applicants </w:t>
            </w:r>
            <w:r w:rsidR="0097676B">
              <w:rPr>
                <w:sz w:val="20"/>
              </w:rPr>
              <w:t>may provide some indication of cost.   If new applicants identify where they heard about the program, this may provide further insight.)</w:t>
            </w:r>
          </w:p>
          <w:p w14:paraId="640C2F22" w14:textId="77777777" w:rsidR="004B5E76" w:rsidRPr="004B5E76" w:rsidRDefault="004B5E76" w:rsidP="008A799A">
            <w:pPr>
              <w:pStyle w:val="ListParagraph"/>
              <w:rPr>
                <w:sz w:val="20"/>
              </w:rPr>
            </w:pPr>
          </w:p>
          <w:p w14:paraId="640C2F23" w14:textId="77777777" w:rsidR="004B5E76" w:rsidRPr="001E2C56" w:rsidRDefault="004B5E76" w:rsidP="008A799A">
            <w:pPr>
              <w:pStyle w:val="ListParagraph"/>
              <w:numPr>
                <w:ilvl w:val="1"/>
                <w:numId w:val="12"/>
              </w:numPr>
              <w:ind w:left="720"/>
              <w:rPr>
                <w:sz w:val="20"/>
              </w:rPr>
            </w:pPr>
            <w:r>
              <w:rPr>
                <w:sz w:val="20"/>
              </w:rPr>
              <w:t xml:space="preserve">Are awards going to the same firms? </w:t>
            </w:r>
          </w:p>
          <w:p w14:paraId="640C2F24" w14:textId="77777777" w:rsidR="003E7613" w:rsidRPr="001E2C56" w:rsidRDefault="003E7613" w:rsidP="008A799A">
            <w:pPr>
              <w:pStyle w:val="ListParagraph"/>
              <w:ind w:left="360"/>
              <w:rPr>
                <w:sz w:val="20"/>
              </w:rPr>
            </w:pPr>
          </w:p>
          <w:p w14:paraId="1BC6963E" w14:textId="2D7E357F" w:rsidR="003E7613" w:rsidRDefault="003E7613" w:rsidP="008A799A">
            <w:pPr>
              <w:ind w:left="360"/>
              <w:rPr>
                <w:sz w:val="20"/>
              </w:rPr>
            </w:pPr>
            <w:r w:rsidRPr="001E2C56">
              <w:rPr>
                <w:sz w:val="20"/>
              </w:rPr>
              <w:t xml:space="preserve">Rationale: </w:t>
            </w:r>
            <w:r w:rsidR="002B35E0" w:rsidRPr="001E2C56">
              <w:rPr>
                <w:sz w:val="20"/>
              </w:rPr>
              <w:t>Similar to any business, understanding new and repeat “customers” is important.  It helps assess the impact of educational and outreach activities. Also, o</w:t>
            </w:r>
            <w:r w:rsidRPr="001E2C56">
              <w:rPr>
                <w:sz w:val="20"/>
              </w:rPr>
              <w:t xml:space="preserve">ne concern is that previous award winners are the primary </w:t>
            </w:r>
            <w:r w:rsidR="00106EA8" w:rsidRPr="001E2C56">
              <w:rPr>
                <w:sz w:val="20"/>
              </w:rPr>
              <w:t>recipients</w:t>
            </w:r>
            <w:r w:rsidRPr="001E2C56">
              <w:rPr>
                <w:sz w:val="20"/>
              </w:rPr>
              <w:t xml:space="preserve"> of SBIR/STTR awards.  This may be because </w:t>
            </w:r>
            <w:r w:rsidR="002B35E0" w:rsidRPr="001E2C56">
              <w:rPr>
                <w:sz w:val="20"/>
              </w:rPr>
              <w:t xml:space="preserve">the pool of qualified applicants is not large enough.  A larger pool of qualified new applicants will likely lead to improved program results. </w:t>
            </w:r>
            <w:r w:rsidR="0054080E">
              <w:rPr>
                <w:sz w:val="20"/>
              </w:rPr>
              <w:t xml:space="preserve">It is also important to understand the prevalence of multi-award winners.  </w:t>
            </w:r>
          </w:p>
          <w:p w14:paraId="640C2F25" w14:textId="77777777" w:rsidR="008A799A" w:rsidRPr="006F20A3" w:rsidRDefault="008A799A" w:rsidP="008A799A">
            <w:pPr>
              <w:ind w:left="360"/>
              <w:rPr>
                <w:sz w:val="20"/>
              </w:rPr>
            </w:pPr>
          </w:p>
        </w:tc>
        <w:tc>
          <w:tcPr>
            <w:tcW w:w="3618" w:type="dxa"/>
            <w:tcBorders>
              <w:bottom w:val="single" w:sz="4" w:space="0" w:color="auto"/>
            </w:tcBorders>
          </w:tcPr>
          <w:p w14:paraId="640C2F26" w14:textId="77777777" w:rsidR="001D52E3" w:rsidRDefault="001D52E3" w:rsidP="008A799A">
            <w:pPr>
              <w:pStyle w:val="ListParagraph"/>
              <w:ind w:left="342"/>
              <w:rPr>
                <w:sz w:val="20"/>
              </w:rPr>
            </w:pPr>
          </w:p>
          <w:p w14:paraId="35F02558" w14:textId="77777777" w:rsidR="003117F4" w:rsidRPr="001E2C56" w:rsidRDefault="003117F4" w:rsidP="008A799A">
            <w:pPr>
              <w:pStyle w:val="ListParagraph"/>
              <w:ind w:left="342"/>
              <w:rPr>
                <w:sz w:val="20"/>
              </w:rPr>
            </w:pPr>
          </w:p>
          <w:p w14:paraId="640C2F28" w14:textId="77777777" w:rsidR="000524A4" w:rsidRPr="001E2C56" w:rsidRDefault="003E7613" w:rsidP="008A799A">
            <w:pPr>
              <w:pStyle w:val="ListParagraph"/>
              <w:numPr>
                <w:ilvl w:val="0"/>
                <w:numId w:val="13"/>
              </w:numPr>
              <w:ind w:left="342"/>
              <w:rPr>
                <w:sz w:val="20"/>
              </w:rPr>
            </w:pPr>
            <w:r w:rsidRPr="001E2C56">
              <w:rPr>
                <w:sz w:val="20"/>
              </w:rPr>
              <w:t>Number</w:t>
            </w:r>
            <w:r w:rsidR="00BC4C7A">
              <w:rPr>
                <w:sz w:val="20"/>
              </w:rPr>
              <w:t xml:space="preserve"> and percent</w:t>
            </w:r>
            <w:r w:rsidRPr="001E2C56">
              <w:rPr>
                <w:sz w:val="20"/>
              </w:rPr>
              <w:t xml:space="preserve"> of</w:t>
            </w:r>
            <w:r w:rsidR="002B35E0" w:rsidRPr="001E2C56">
              <w:rPr>
                <w:sz w:val="20"/>
              </w:rPr>
              <w:t xml:space="preserve"> </w:t>
            </w:r>
            <w:r w:rsidR="00F07D6C">
              <w:rPr>
                <w:sz w:val="20"/>
              </w:rPr>
              <w:t xml:space="preserve">Phase I </w:t>
            </w:r>
            <w:r w:rsidR="002B35E0" w:rsidRPr="001E2C56">
              <w:rPr>
                <w:sz w:val="20"/>
              </w:rPr>
              <w:t>applications by new applicants</w:t>
            </w:r>
            <w:r w:rsidR="00F07D6C">
              <w:rPr>
                <w:sz w:val="20"/>
              </w:rPr>
              <w:t xml:space="preserve"> </w:t>
            </w:r>
          </w:p>
          <w:p w14:paraId="640C2F29" w14:textId="77777777" w:rsidR="00F35D44" w:rsidRPr="001E2C56" w:rsidRDefault="00F35D44" w:rsidP="008A799A">
            <w:pPr>
              <w:pStyle w:val="ListParagraph"/>
              <w:ind w:left="342"/>
              <w:rPr>
                <w:sz w:val="20"/>
              </w:rPr>
            </w:pPr>
          </w:p>
          <w:p w14:paraId="640C2F2A" w14:textId="77777777" w:rsidR="00917030" w:rsidRDefault="002B35E0" w:rsidP="008A799A">
            <w:pPr>
              <w:pStyle w:val="ListParagraph"/>
              <w:numPr>
                <w:ilvl w:val="0"/>
                <w:numId w:val="13"/>
              </w:numPr>
              <w:ind w:left="342"/>
              <w:rPr>
                <w:sz w:val="20"/>
              </w:rPr>
            </w:pPr>
            <w:r w:rsidRPr="001E2C56">
              <w:rPr>
                <w:sz w:val="20"/>
              </w:rPr>
              <w:t xml:space="preserve">Number </w:t>
            </w:r>
            <w:r w:rsidR="00BC4C7A">
              <w:rPr>
                <w:sz w:val="20"/>
              </w:rPr>
              <w:t xml:space="preserve">and percent </w:t>
            </w:r>
            <w:r w:rsidRPr="001E2C56">
              <w:rPr>
                <w:sz w:val="20"/>
              </w:rPr>
              <w:t xml:space="preserve">of </w:t>
            </w:r>
            <w:r w:rsidR="00F07D6C">
              <w:rPr>
                <w:sz w:val="20"/>
              </w:rPr>
              <w:t xml:space="preserve">Phase I </w:t>
            </w:r>
            <w:r w:rsidR="001D52E3" w:rsidRPr="001E2C56">
              <w:rPr>
                <w:sz w:val="20"/>
              </w:rPr>
              <w:t xml:space="preserve">awards </w:t>
            </w:r>
            <w:r w:rsidR="00BC4C7A">
              <w:rPr>
                <w:sz w:val="20"/>
              </w:rPr>
              <w:t xml:space="preserve"> and award dollars </w:t>
            </w:r>
            <w:r w:rsidR="001D52E3" w:rsidRPr="001E2C56">
              <w:rPr>
                <w:sz w:val="20"/>
              </w:rPr>
              <w:t>to first-time award winners</w:t>
            </w:r>
          </w:p>
          <w:p w14:paraId="640C2F2B" w14:textId="77777777" w:rsidR="003F27E4" w:rsidRPr="003F27E4" w:rsidRDefault="003F27E4" w:rsidP="008A799A">
            <w:pPr>
              <w:pStyle w:val="ListParagraph"/>
              <w:rPr>
                <w:sz w:val="20"/>
              </w:rPr>
            </w:pPr>
          </w:p>
          <w:p w14:paraId="640C2F2C" w14:textId="77777777" w:rsidR="003F27E4" w:rsidRPr="001E2C56" w:rsidRDefault="003F27E4" w:rsidP="008A799A">
            <w:pPr>
              <w:pStyle w:val="ListParagraph"/>
              <w:numPr>
                <w:ilvl w:val="0"/>
                <w:numId w:val="13"/>
              </w:numPr>
              <w:ind w:left="342"/>
              <w:rPr>
                <w:sz w:val="20"/>
              </w:rPr>
            </w:pPr>
            <w:r>
              <w:rPr>
                <w:sz w:val="20"/>
              </w:rPr>
              <w:t xml:space="preserve">Number of times first-time award winners apply </w:t>
            </w:r>
            <w:r w:rsidR="00F07D6C">
              <w:rPr>
                <w:sz w:val="20"/>
              </w:rPr>
              <w:t xml:space="preserve">for Phase I award </w:t>
            </w:r>
            <w:r>
              <w:rPr>
                <w:sz w:val="20"/>
              </w:rPr>
              <w:t>before receiving an award</w:t>
            </w:r>
          </w:p>
          <w:p w14:paraId="640C2F2D" w14:textId="77777777" w:rsidR="00F35D44" w:rsidRPr="001E2C56" w:rsidRDefault="00F35D44" w:rsidP="008A799A">
            <w:pPr>
              <w:rPr>
                <w:sz w:val="20"/>
              </w:rPr>
            </w:pPr>
          </w:p>
          <w:p w14:paraId="640C2F2E" w14:textId="77777777" w:rsidR="00917030" w:rsidRDefault="00917030" w:rsidP="008A799A">
            <w:pPr>
              <w:pStyle w:val="ListParagraph"/>
              <w:numPr>
                <w:ilvl w:val="0"/>
                <w:numId w:val="13"/>
              </w:numPr>
              <w:ind w:left="342"/>
              <w:rPr>
                <w:sz w:val="20"/>
              </w:rPr>
            </w:pPr>
            <w:r w:rsidRPr="001E2C56">
              <w:rPr>
                <w:sz w:val="20"/>
              </w:rPr>
              <w:t xml:space="preserve">Outreach activity costs </w:t>
            </w:r>
            <w:r w:rsidR="006F20A3">
              <w:rPr>
                <w:sz w:val="20"/>
              </w:rPr>
              <w:t xml:space="preserve">to </w:t>
            </w:r>
            <w:r w:rsidRPr="001E2C56">
              <w:rPr>
                <w:sz w:val="20"/>
              </w:rPr>
              <w:t>new applicants</w:t>
            </w:r>
            <w:r w:rsidR="006F20A3">
              <w:rPr>
                <w:sz w:val="20"/>
              </w:rPr>
              <w:t xml:space="preserve"> or increase of new applicants</w:t>
            </w:r>
          </w:p>
          <w:p w14:paraId="640C2F2F" w14:textId="77777777" w:rsidR="004B5E76" w:rsidRPr="004B5E76" w:rsidRDefault="004B5E76" w:rsidP="008A799A">
            <w:pPr>
              <w:pStyle w:val="ListParagraph"/>
              <w:rPr>
                <w:sz w:val="20"/>
              </w:rPr>
            </w:pPr>
          </w:p>
          <w:p w14:paraId="640C2F30" w14:textId="4FFF9A3D" w:rsidR="002B35E0" w:rsidRDefault="00666E62" w:rsidP="008A799A">
            <w:pPr>
              <w:pStyle w:val="ListParagraph"/>
              <w:numPr>
                <w:ilvl w:val="0"/>
                <w:numId w:val="13"/>
              </w:numPr>
              <w:ind w:left="342"/>
              <w:rPr>
                <w:sz w:val="20"/>
              </w:rPr>
            </w:pPr>
            <w:r>
              <w:rPr>
                <w:sz w:val="20"/>
              </w:rPr>
              <w:t xml:space="preserve">Pie </w:t>
            </w:r>
            <w:r w:rsidR="00B10DBF">
              <w:rPr>
                <w:sz w:val="20"/>
              </w:rPr>
              <w:t>Chart indicating</w:t>
            </w:r>
            <w:r w:rsidR="00962166">
              <w:rPr>
                <w:sz w:val="20"/>
              </w:rPr>
              <w:t xml:space="preserve"> the number of </w:t>
            </w:r>
            <w:r w:rsidR="00F07D6C">
              <w:rPr>
                <w:sz w:val="20"/>
              </w:rPr>
              <w:t>small businesses receiving Phase I awards</w:t>
            </w:r>
            <w:r>
              <w:rPr>
                <w:sz w:val="20"/>
              </w:rPr>
              <w:t xml:space="preserve"> by the number of </w:t>
            </w:r>
            <w:r w:rsidR="00F07D6C">
              <w:rPr>
                <w:sz w:val="20"/>
              </w:rPr>
              <w:t xml:space="preserve">Phase I </w:t>
            </w:r>
            <w:r>
              <w:rPr>
                <w:sz w:val="20"/>
              </w:rPr>
              <w:t xml:space="preserve">awards </w:t>
            </w:r>
            <w:r w:rsidR="00B10DBF">
              <w:rPr>
                <w:sz w:val="20"/>
              </w:rPr>
              <w:t>received for</w:t>
            </w:r>
            <w:r w:rsidR="00962166">
              <w:rPr>
                <w:sz w:val="20"/>
              </w:rPr>
              <w:t xml:space="preserve"> a five year period, as shown below.  </w:t>
            </w:r>
            <w:r w:rsidR="00D62E81">
              <w:rPr>
                <w:sz w:val="20"/>
              </w:rPr>
              <w:t>This c</w:t>
            </w:r>
            <w:r w:rsidR="00F07D6C">
              <w:rPr>
                <w:sz w:val="20"/>
              </w:rPr>
              <w:t xml:space="preserve">ould also </w:t>
            </w:r>
            <w:r w:rsidR="008A799A">
              <w:rPr>
                <w:sz w:val="20"/>
              </w:rPr>
              <w:t>be measured for Phase II awards</w:t>
            </w:r>
          </w:p>
          <w:p w14:paraId="640C2F31" w14:textId="77777777" w:rsidR="00F07D6C" w:rsidRPr="00F07D6C" w:rsidRDefault="00F07D6C" w:rsidP="008A799A">
            <w:pPr>
              <w:rPr>
                <w:sz w:val="20"/>
              </w:rPr>
            </w:pPr>
          </w:p>
        </w:tc>
      </w:tr>
    </w:tbl>
    <w:p w14:paraId="663F4B3B" w14:textId="77777777" w:rsidR="008A5EF7" w:rsidRDefault="008A5EF7" w:rsidP="008A5EF7"/>
    <w:p w14:paraId="3FCAB4AA" w14:textId="326F4487" w:rsidR="008A5EF7" w:rsidRDefault="008A5EF7" w:rsidP="008A5EF7">
      <w:r w:rsidRPr="008A5EF7">
        <w:rPr>
          <w:noProof/>
          <w:sz w:val="20"/>
        </w:rPr>
        <mc:AlternateContent>
          <mc:Choice Requires="wps">
            <w:drawing>
              <wp:anchor distT="0" distB="0" distL="114300" distR="114300" simplePos="0" relativeHeight="251659264" behindDoc="0" locked="0" layoutInCell="1" allowOverlap="1" wp14:anchorId="138CDE7B" wp14:editId="75781B92">
                <wp:simplePos x="0" y="0"/>
                <wp:positionH relativeFrom="column">
                  <wp:posOffset>4246418</wp:posOffset>
                </wp:positionH>
                <wp:positionV relativeFrom="paragraph">
                  <wp:posOffset>1385</wp:posOffset>
                </wp:positionV>
                <wp:extent cx="2007928" cy="962891"/>
                <wp:effectExtent l="0" t="0" r="1143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928" cy="962891"/>
                        </a:xfrm>
                        <a:prstGeom prst="rect">
                          <a:avLst/>
                        </a:prstGeom>
                        <a:solidFill>
                          <a:srgbClr val="FFFFFF"/>
                        </a:solidFill>
                        <a:ln w="9525">
                          <a:solidFill>
                            <a:srgbClr val="000000"/>
                          </a:solidFill>
                          <a:miter lim="800000"/>
                          <a:headEnd/>
                          <a:tailEnd/>
                        </a:ln>
                      </wps:spPr>
                      <wps:txbx>
                        <w:txbxContent>
                          <w:p w14:paraId="51034741" w14:textId="2DCF06C0" w:rsidR="008A5EF7" w:rsidRDefault="008A5EF7">
                            <w:r>
                              <w:rPr>
                                <w:sz w:val="20"/>
                              </w:rPr>
                              <w:t xml:space="preserve">If the chart was based on actual data, one could conclude that over half of the Phase I award winners received multiple awards, with 17% receiving over 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CDE7B" id="_x0000_t202" coordsize="21600,21600" o:spt="202" path="m,l,21600r21600,l21600,xe">
                <v:stroke joinstyle="miter"/>
                <v:path gradientshapeok="t" o:connecttype="rect"/>
              </v:shapetype>
              <v:shape id="Text Box 2" o:spid="_x0000_s1026" type="#_x0000_t202" style="position:absolute;left:0;text-align:left;margin-left:334.35pt;margin-top:.1pt;width:158.1pt;height:7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">
                <v:textbox>
                  <w:txbxContent>
                    <w:p w14:paraId="51034741" w14:textId="2DCF06C0" w:rsidR="008A5EF7" w:rsidRDefault="008A5EF7">
                      <w:r>
                        <w:rPr>
                          <w:sz w:val="20"/>
                        </w:rPr>
                        <w:t xml:space="preserve">If the chart was based on actual data, one could conclude that over half of the Phase I award winners received multiple awards, with 17% receiving over 10.  </w:t>
                      </w:r>
                    </w:p>
                  </w:txbxContent>
                </v:textbox>
              </v:shape>
            </w:pict>
          </mc:Fallback>
        </mc:AlternateContent>
      </w:r>
      <w:r>
        <w:rPr>
          <w:noProof/>
          <w:sz w:val="20"/>
        </w:rPr>
        <w:drawing>
          <wp:inline distT="0" distB="0" distL="0" distR="0" wp14:anchorId="05359235" wp14:editId="5C410E70">
            <wp:extent cx="4163291" cy="1995055"/>
            <wp:effectExtent l="0" t="0" r="27940" b="247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bl>
      <w:tblPr>
        <w:tblStyle w:val="TableGrid"/>
        <w:tblW w:w="0" w:type="auto"/>
        <w:tblLook w:val="04A0" w:firstRow="1" w:lastRow="0" w:firstColumn="1" w:lastColumn="0" w:noHBand="0" w:noVBand="1"/>
      </w:tblPr>
      <w:tblGrid>
        <w:gridCol w:w="6228"/>
        <w:gridCol w:w="3708"/>
      </w:tblGrid>
      <w:tr w:rsidR="001D52E3" w:rsidRPr="001E2C56" w14:paraId="640C2F4C" w14:textId="77777777" w:rsidTr="008A799A">
        <w:tc>
          <w:tcPr>
            <w:tcW w:w="6228" w:type="dxa"/>
          </w:tcPr>
          <w:p w14:paraId="640C2F3A" w14:textId="2C7E9913" w:rsidR="000524A4" w:rsidRPr="001E2C56" w:rsidRDefault="008A5EF7" w:rsidP="008A799A">
            <w:pPr>
              <w:pStyle w:val="ListParagraph"/>
              <w:numPr>
                <w:ilvl w:val="0"/>
                <w:numId w:val="12"/>
              </w:numPr>
              <w:ind w:left="360"/>
              <w:rPr>
                <w:sz w:val="20"/>
              </w:rPr>
            </w:pPr>
            <w:r>
              <w:rPr>
                <w:rFonts w:asciiTheme="minorHAnsi" w:hAnsiTheme="minorHAnsi" w:cstheme="minorHAnsi"/>
                <w:szCs w:val="20"/>
              </w:rPr>
              <w:lastRenderedPageBreak/>
              <w:br w:type="page"/>
            </w:r>
            <w:r w:rsidR="001D52E3" w:rsidRPr="001E2C56">
              <w:rPr>
                <w:b/>
                <w:i/>
                <w:color w:val="0070C0"/>
                <w:sz w:val="20"/>
              </w:rPr>
              <w:t xml:space="preserve">Women-owned </w:t>
            </w:r>
            <w:r w:rsidR="00634AF7">
              <w:rPr>
                <w:b/>
                <w:i/>
                <w:color w:val="0070C0"/>
                <w:sz w:val="20"/>
              </w:rPr>
              <w:t xml:space="preserve">Small Business Concern (WOSB) </w:t>
            </w:r>
            <w:r w:rsidR="001D52E3" w:rsidRPr="001E2C56">
              <w:rPr>
                <w:b/>
                <w:i/>
                <w:color w:val="0070C0"/>
                <w:sz w:val="20"/>
              </w:rPr>
              <w:t>Outreach</w:t>
            </w:r>
            <w:r w:rsidR="001D52E3" w:rsidRPr="001E2C56">
              <w:rPr>
                <w:b/>
                <w:i/>
                <w:sz w:val="20"/>
              </w:rPr>
              <w:t>:</w:t>
            </w:r>
            <w:r w:rsidR="001D52E3" w:rsidRPr="001E2C56">
              <w:rPr>
                <w:sz w:val="20"/>
              </w:rPr>
              <w:t xml:space="preserve"> </w:t>
            </w:r>
          </w:p>
          <w:p w14:paraId="640C2F3B" w14:textId="77777777" w:rsidR="001D52E3" w:rsidRPr="001E2C56" w:rsidRDefault="001D52E3" w:rsidP="008A799A">
            <w:pPr>
              <w:pStyle w:val="ListParagraph"/>
              <w:ind w:left="360"/>
              <w:rPr>
                <w:sz w:val="20"/>
              </w:rPr>
            </w:pPr>
            <w:r w:rsidRPr="001E2C56">
              <w:rPr>
                <w:sz w:val="20"/>
              </w:rPr>
              <w:t xml:space="preserve"> </w:t>
            </w:r>
          </w:p>
          <w:p w14:paraId="640C2F3C" w14:textId="77777777" w:rsidR="000524A4" w:rsidRPr="001E2C56" w:rsidRDefault="001D52E3" w:rsidP="008A799A">
            <w:pPr>
              <w:pStyle w:val="ListParagraph"/>
              <w:numPr>
                <w:ilvl w:val="1"/>
                <w:numId w:val="12"/>
              </w:numPr>
              <w:ind w:left="720"/>
              <w:rPr>
                <w:sz w:val="20"/>
              </w:rPr>
            </w:pPr>
            <w:r w:rsidRPr="001E2C56">
              <w:rPr>
                <w:sz w:val="20"/>
              </w:rPr>
              <w:t>Are more women-owned busin</w:t>
            </w:r>
            <w:r w:rsidR="000524A4" w:rsidRPr="001E2C56">
              <w:rPr>
                <w:sz w:val="20"/>
              </w:rPr>
              <w:t>esses applying to the program?</w:t>
            </w:r>
          </w:p>
          <w:p w14:paraId="640C2F3D" w14:textId="77777777" w:rsidR="000524A4" w:rsidRPr="001E2C56" w:rsidRDefault="000524A4" w:rsidP="008A799A">
            <w:pPr>
              <w:pStyle w:val="ListParagraph"/>
              <w:rPr>
                <w:sz w:val="20"/>
              </w:rPr>
            </w:pPr>
          </w:p>
          <w:p w14:paraId="640C2F3E" w14:textId="77777777" w:rsidR="000524A4" w:rsidRPr="001E2C56" w:rsidRDefault="001D52E3" w:rsidP="008A799A">
            <w:pPr>
              <w:pStyle w:val="ListParagraph"/>
              <w:numPr>
                <w:ilvl w:val="1"/>
                <w:numId w:val="12"/>
              </w:numPr>
              <w:ind w:left="720"/>
              <w:rPr>
                <w:sz w:val="20"/>
              </w:rPr>
            </w:pPr>
            <w:r w:rsidRPr="001E2C56">
              <w:rPr>
                <w:sz w:val="20"/>
              </w:rPr>
              <w:t xml:space="preserve">Are they receiving awards? </w:t>
            </w:r>
          </w:p>
          <w:p w14:paraId="640C2F3F" w14:textId="77777777" w:rsidR="000524A4" w:rsidRPr="001E2C56" w:rsidRDefault="000524A4" w:rsidP="008A799A">
            <w:pPr>
              <w:pStyle w:val="ListParagraph"/>
              <w:rPr>
                <w:sz w:val="20"/>
              </w:rPr>
            </w:pPr>
          </w:p>
          <w:p w14:paraId="640C2F40" w14:textId="77777777" w:rsidR="001D52E3" w:rsidRPr="001E2C56" w:rsidRDefault="001D52E3" w:rsidP="008A799A">
            <w:pPr>
              <w:pStyle w:val="ListParagraph"/>
              <w:numPr>
                <w:ilvl w:val="1"/>
                <w:numId w:val="12"/>
              </w:numPr>
              <w:ind w:left="720"/>
              <w:rPr>
                <w:sz w:val="20"/>
              </w:rPr>
            </w:pPr>
            <w:r w:rsidRPr="001E2C56">
              <w:rPr>
                <w:sz w:val="20"/>
              </w:rPr>
              <w:t xml:space="preserve">Is the </w:t>
            </w:r>
            <w:r w:rsidR="0097676B">
              <w:rPr>
                <w:sz w:val="20"/>
              </w:rPr>
              <w:t>award</w:t>
            </w:r>
            <w:r w:rsidRPr="001E2C56">
              <w:rPr>
                <w:sz w:val="20"/>
              </w:rPr>
              <w:t xml:space="preserve"> </w:t>
            </w:r>
            <w:r w:rsidR="0097676B">
              <w:rPr>
                <w:sz w:val="20"/>
              </w:rPr>
              <w:t xml:space="preserve">or success </w:t>
            </w:r>
            <w:r w:rsidRPr="001E2C56">
              <w:rPr>
                <w:sz w:val="20"/>
              </w:rPr>
              <w:t>rate for women-owned firms different than for other firms?</w:t>
            </w:r>
          </w:p>
          <w:p w14:paraId="640C2F41" w14:textId="77777777" w:rsidR="001D52E3" w:rsidRPr="001E2C56" w:rsidRDefault="001D52E3" w:rsidP="008A799A">
            <w:pPr>
              <w:pStyle w:val="ListParagraph"/>
              <w:ind w:left="360"/>
              <w:rPr>
                <w:sz w:val="20"/>
              </w:rPr>
            </w:pPr>
          </w:p>
          <w:p w14:paraId="640C2F42" w14:textId="20ECE7ED" w:rsidR="001D52E3" w:rsidRPr="002F7A8C" w:rsidRDefault="001D52E3" w:rsidP="008A799A">
            <w:pPr>
              <w:ind w:left="360"/>
              <w:rPr>
                <w:sz w:val="20"/>
              </w:rPr>
            </w:pPr>
            <w:r w:rsidRPr="001E2C56">
              <w:rPr>
                <w:sz w:val="20"/>
              </w:rPr>
              <w:t xml:space="preserve">Rationale: </w:t>
            </w:r>
            <w:r w:rsidR="000524A4" w:rsidRPr="001E2C56">
              <w:rPr>
                <w:sz w:val="20"/>
              </w:rPr>
              <w:t>Congress has identified this group to be of particular interest.</w:t>
            </w:r>
          </w:p>
          <w:p w14:paraId="640C2F43" w14:textId="77777777" w:rsidR="004B5E76" w:rsidRPr="001E2C56" w:rsidRDefault="004B5E76" w:rsidP="008A799A">
            <w:pPr>
              <w:pStyle w:val="ListParagraph"/>
              <w:rPr>
                <w:sz w:val="20"/>
              </w:rPr>
            </w:pPr>
          </w:p>
        </w:tc>
        <w:tc>
          <w:tcPr>
            <w:tcW w:w="3708" w:type="dxa"/>
          </w:tcPr>
          <w:p w14:paraId="640C2F44" w14:textId="77777777" w:rsidR="000524A4" w:rsidRPr="001E2C56" w:rsidRDefault="000524A4" w:rsidP="008A799A">
            <w:pPr>
              <w:pStyle w:val="ListParagraph"/>
              <w:ind w:left="342"/>
              <w:rPr>
                <w:sz w:val="20"/>
              </w:rPr>
            </w:pPr>
          </w:p>
          <w:p w14:paraId="640C2F46" w14:textId="77777777" w:rsidR="000524A4" w:rsidRPr="001E2C56" w:rsidRDefault="000524A4" w:rsidP="008A799A">
            <w:pPr>
              <w:pStyle w:val="ListParagraph"/>
              <w:numPr>
                <w:ilvl w:val="0"/>
                <w:numId w:val="13"/>
              </w:numPr>
              <w:ind w:left="342"/>
              <w:rPr>
                <w:sz w:val="20"/>
              </w:rPr>
            </w:pPr>
            <w:r w:rsidRPr="001E2C56">
              <w:rPr>
                <w:sz w:val="20"/>
              </w:rPr>
              <w:t xml:space="preserve">Number </w:t>
            </w:r>
            <w:r w:rsidR="00BC4C7A">
              <w:rPr>
                <w:sz w:val="20"/>
              </w:rPr>
              <w:t xml:space="preserve">and percent </w:t>
            </w:r>
            <w:r w:rsidRPr="001E2C56">
              <w:rPr>
                <w:sz w:val="20"/>
              </w:rPr>
              <w:t>of applications by women-owned firms</w:t>
            </w:r>
            <w:r w:rsidR="00634AF7">
              <w:rPr>
                <w:sz w:val="20"/>
              </w:rPr>
              <w:t xml:space="preserve"> compared to historic numbers and rates of participation by WOSBs</w:t>
            </w:r>
          </w:p>
          <w:p w14:paraId="640C2F47" w14:textId="77777777" w:rsidR="000524A4" w:rsidRPr="001E2C56" w:rsidRDefault="000524A4" w:rsidP="008A799A">
            <w:pPr>
              <w:pStyle w:val="ListParagraph"/>
              <w:ind w:left="342"/>
              <w:rPr>
                <w:sz w:val="20"/>
              </w:rPr>
            </w:pPr>
          </w:p>
          <w:p w14:paraId="640C2F48" w14:textId="77777777" w:rsidR="001D52E3" w:rsidRPr="001E2C56" w:rsidRDefault="001D52E3" w:rsidP="008A799A">
            <w:pPr>
              <w:pStyle w:val="ListParagraph"/>
              <w:numPr>
                <w:ilvl w:val="0"/>
                <w:numId w:val="13"/>
              </w:numPr>
              <w:ind w:left="342"/>
              <w:rPr>
                <w:sz w:val="20"/>
              </w:rPr>
            </w:pPr>
            <w:r w:rsidRPr="001E2C56">
              <w:rPr>
                <w:sz w:val="20"/>
              </w:rPr>
              <w:t xml:space="preserve">Number </w:t>
            </w:r>
            <w:r w:rsidR="00BC4C7A">
              <w:rPr>
                <w:sz w:val="20"/>
              </w:rPr>
              <w:t xml:space="preserve">and percent </w:t>
            </w:r>
            <w:r w:rsidRPr="001E2C56">
              <w:rPr>
                <w:sz w:val="20"/>
              </w:rPr>
              <w:t xml:space="preserve">of awards </w:t>
            </w:r>
            <w:r w:rsidR="00BC4C7A">
              <w:rPr>
                <w:sz w:val="20"/>
              </w:rPr>
              <w:t xml:space="preserve"> and award dollars </w:t>
            </w:r>
            <w:r w:rsidRPr="001E2C56">
              <w:rPr>
                <w:sz w:val="20"/>
              </w:rPr>
              <w:t xml:space="preserve">to </w:t>
            </w:r>
            <w:r w:rsidR="000524A4" w:rsidRPr="001E2C56">
              <w:rPr>
                <w:sz w:val="20"/>
              </w:rPr>
              <w:t>women-owned firms</w:t>
            </w:r>
          </w:p>
          <w:p w14:paraId="640C2F49" w14:textId="77777777" w:rsidR="00F35D44" w:rsidRPr="001E2C56" w:rsidRDefault="00F35D44" w:rsidP="008A799A">
            <w:pPr>
              <w:rPr>
                <w:sz w:val="20"/>
              </w:rPr>
            </w:pPr>
          </w:p>
          <w:p w14:paraId="0FC32B7F" w14:textId="48B86DC4" w:rsidR="001D52E3" w:rsidRDefault="0097676B" w:rsidP="008A799A">
            <w:pPr>
              <w:pStyle w:val="ListParagraph"/>
              <w:numPr>
                <w:ilvl w:val="0"/>
                <w:numId w:val="13"/>
              </w:numPr>
              <w:ind w:left="342"/>
              <w:rPr>
                <w:sz w:val="20"/>
              </w:rPr>
            </w:pPr>
            <w:r>
              <w:rPr>
                <w:sz w:val="20"/>
              </w:rPr>
              <w:t xml:space="preserve">Award rate:  </w:t>
            </w:r>
            <w:r w:rsidR="000524A4" w:rsidRPr="001E2C56">
              <w:rPr>
                <w:sz w:val="20"/>
              </w:rPr>
              <w:t>Number of</w:t>
            </w:r>
            <w:r w:rsidR="00634AF7">
              <w:rPr>
                <w:sz w:val="20"/>
              </w:rPr>
              <w:t xml:space="preserve"> WOSB</w:t>
            </w:r>
            <w:r w:rsidR="000524A4" w:rsidRPr="001E2C56">
              <w:rPr>
                <w:sz w:val="20"/>
              </w:rPr>
              <w:t xml:space="preserve"> awards /Number of </w:t>
            </w:r>
            <w:r w:rsidR="00634AF7">
              <w:rPr>
                <w:sz w:val="20"/>
              </w:rPr>
              <w:t xml:space="preserve">WOSB </w:t>
            </w:r>
            <w:r w:rsidR="000524A4" w:rsidRPr="001E2C56">
              <w:rPr>
                <w:sz w:val="20"/>
              </w:rPr>
              <w:t>applications</w:t>
            </w:r>
            <w:r w:rsidR="00634AF7">
              <w:rPr>
                <w:sz w:val="20"/>
              </w:rPr>
              <w:t xml:space="preserve"> as compared to the number of awards and number of applicati</w:t>
            </w:r>
            <w:r w:rsidR="008A799A">
              <w:rPr>
                <w:sz w:val="20"/>
              </w:rPr>
              <w:t>ons submitted by non-WOSB firms</w:t>
            </w:r>
          </w:p>
          <w:p w14:paraId="640C2F4B" w14:textId="08A8BC49" w:rsidR="008A799A" w:rsidRPr="008A799A" w:rsidRDefault="008A799A" w:rsidP="008A799A">
            <w:pPr>
              <w:rPr>
                <w:sz w:val="20"/>
              </w:rPr>
            </w:pPr>
          </w:p>
        </w:tc>
      </w:tr>
      <w:tr w:rsidR="000524A4" w:rsidRPr="001E2C56" w14:paraId="640C2F63" w14:textId="77777777" w:rsidTr="008A799A">
        <w:tc>
          <w:tcPr>
            <w:tcW w:w="6228" w:type="dxa"/>
          </w:tcPr>
          <w:p w14:paraId="640C2F4E" w14:textId="01E71D4E" w:rsidR="000524A4" w:rsidRPr="001E2C56" w:rsidRDefault="000524A4" w:rsidP="008A799A">
            <w:pPr>
              <w:pStyle w:val="ListParagraph"/>
              <w:numPr>
                <w:ilvl w:val="0"/>
                <w:numId w:val="12"/>
              </w:numPr>
              <w:ind w:left="360"/>
              <w:rPr>
                <w:sz w:val="20"/>
              </w:rPr>
            </w:pPr>
            <w:r w:rsidRPr="001E2C56">
              <w:rPr>
                <w:b/>
                <w:i/>
                <w:color w:val="0070C0"/>
                <w:sz w:val="20"/>
              </w:rPr>
              <w:t>Socially and Economically Disadvantaged</w:t>
            </w:r>
            <w:r w:rsidR="00634AF7">
              <w:rPr>
                <w:b/>
                <w:i/>
                <w:color w:val="0070C0"/>
                <w:sz w:val="20"/>
              </w:rPr>
              <w:t xml:space="preserve"> Small Business Concern (SDB)</w:t>
            </w:r>
            <w:r w:rsidRPr="001E2C56">
              <w:rPr>
                <w:b/>
                <w:i/>
                <w:color w:val="0070C0"/>
                <w:sz w:val="20"/>
              </w:rPr>
              <w:t xml:space="preserve"> Outreach</w:t>
            </w:r>
            <w:r w:rsidRPr="001E2C56">
              <w:rPr>
                <w:b/>
                <w:i/>
                <w:sz w:val="20"/>
              </w:rPr>
              <w:t>:</w:t>
            </w:r>
            <w:r w:rsidRPr="001E2C56">
              <w:rPr>
                <w:sz w:val="20"/>
              </w:rPr>
              <w:t xml:space="preserve"> </w:t>
            </w:r>
            <w:r w:rsidR="00012492">
              <w:rPr>
                <w:rStyle w:val="FootnoteReference"/>
                <w:sz w:val="20"/>
              </w:rPr>
              <w:footnoteReference w:id="4"/>
            </w:r>
          </w:p>
          <w:p w14:paraId="640C2F4F" w14:textId="77777777" w:rsidR="000524A4" w:rsidRPr="001E2C56" w:rsidRDefault="000524A4" w:rsidP="008A799A">
            <w:pPr>
              <w:pStyle w:val="ListParagraph"/>
              <w:ind w:left="360"/>
              <w:rPr>
                <w:sz w:val="20"/>
              </w:rPr>
            </w:pPr>
            <w:r w:rsidRPr="001E2C56">
              <w:rPr>
                <w:sz w:val="20"/>
              </w:rPr>
              <w:t xml:space="preserve"> </w:t>
            </w:r>
          </w:p>
          <w:p w14:paraId="640C2F50" w14:textId="77777777" w:rsidR="000524A4" w:rsidRPr="001E2C56" w:rsidRDefault="000524A4" w:rsidP="008A799A">
            <w:pPr>
              <w:pStyle w:val="ListParagraph"/>
              <w:numPr>
                <w:ilvl w:val="1"/>
                <w:numId w:val="12"/>
              </w:numPr>
              <w:ind w:left="720"/>
              <w:rPr>
                <w:sz w:val="20"/>
              </w:rPr>
            </w:pPr>
            <w:r w:rsidRPr="001E2C56">
              <w:rPr>
                <w:sz w:val="20"/>
              </w:rPr>
              <w:t>Are more disadvantaged businesses applying to the program?</w:t>
            </w:r>
          </w:p>
          <w:p w14:paraId="640C2F51" w14:textId="77777777" w:rsidR="000524A4" w:rsidRPr="001E2C56" w:rsidRDefault="000524A4" w:rsidP="008A799A">
            <w:pPr>
              <w:pStyle w:val="ListParagraph"/>
              <w:ind w:left="1080"/>
              <w:rPr>
                <w:sz w:val="20"/>
              </w:rPr>
            </w:pPr>
          </w:p>
          <w:p w14:paraId="640C2F52" w14:textId="77777777" w:rsidR="000524A4" w:rsidRPr="001E2C56" w:rsidRDefault="000524A4" w:rsidP="008A799A">
            <w:pPr>
              <w:pStyle w:val="ListParagraph"/>
              <w:numPr>
                <w:ilvl w:val="1"/>
                <w:numId w:val="12"/>
              </w:numPr>
              <w:ind w:left="720"/>
              <w:rPr>
                <w:sz w:val="20"/>
              </w:rPr>
            </w:pPr>
            <w:r w:rsidRPr="001E2C56">
              <w:rPr>
                <w:sz w:val="20"/>
              </w:rPr>
              <w:t xml:space="preserve">Are they receiving awards? </w:t>
            </w:r>
          </w:p>
          <w:p w14:paraId="640C2F53" w14:textId="77777777" w:rsidR="000524A4" w:rsidRPr="001E2C56" w:rsidRDefault="000524A4" w:rsidP="008A799A">
            <w:pPr>
              <w:rPr>
                <w:sz w:val="20"/>
              </w:rPr>
            </w:pPr>
          </w:p>
          <w:p w14:paraId="640C2F54" w14:textId="77777777" w:rsidR="000524A4" w:rsidRPr="001E2C56" w:rsidRDefault="000524A4" w:rsidP="008A799A">
            <w:pPr>
              <w:pStyle w:val="ListParagraph"/>
              <w:numPr>
                <w:ilvl w:val="1"/>
                <w:numId w:val="12"/>
              </w:numPr>
              <w:ind w:left="720"/>
              <w:rPr>
                <w:sz w:val="20"/>
              </w:rPr>
            </w:pPr>
            <w:r w:rsidRPr="001E2C56">
              <w:rPr>
                <w:sz w:val="20"/>
              </w:rPr>
              <w:t xml:space="preserve">Is the </w:t>
            </w:r>
            <w:r w:rsidR="0097676B">
              <w:rPr>
                <w:sz w:val="20"/>
              </w:rPr>
              <w:t>award</w:t>
            </w:r>
            <w:r w:rsidRPr="001E2C56">
              <w:rPr>
                <w:sz w:val="20"/>
              </w:rPr>
              <w:t xml:space="preserve"> </w:t>
            </w:r>
            <w:r w:rsidR="0097676B">
              <w:rPr>
                <w:sz w:val="20"/>
              </w:rPr>
              <w:t xml:space="preserve">or success </w:t>
            </w:r>
            <w:r w:rsidRPr="001E2C56">
              <w:rPr>
                <w:sz w:val="20"/>
              </w:rPr>
              <w:t>rate for disadvantaged firms different than for other firms?</w:t>
            </w:r>
          </w:p>
          <w:p w14:paraId="640C2F55" w14:textId="77777777" w:rsidR="000524A4" w:rsidRPr="001E2C56" w:rsidRDefault="000524A4" w:rsidP="008A799A">
            <w:pPr>
              <w:pStyle w:val="ListParagraph"/>
              <w:ind w:left="360"/>
              <w:rPr>
                <w:sz w:val="20"/>
              </w:rPr>
            </w:pPr>
          </w:p>
          <w:p w14:paraId="640C2F56" w14:textId="1A5BF462" w:rsidR="000524A4" w:rsidRPr="001E2C56" w:rsidRDefault="000524A4" w:rsidP="008A799A">
            <w:pPr>
              <w:ind w:left="360"/>
              <w:rPr>
                <w:sz w:val="20"/>
              </w:rPr>
            </w:pPr>
            <w:r w:rsidRPr="001E2C56">
              <w:rPr>
                <w:sz w:val="20"/>
              </w:rPr>
              <w:t>Rationale: Congress has identified this group to be of particular interest.</w:t>
            </w:r>
          </w:p>
          <w:p w14:paraId="640C2F57" w14:textId="77777777" w:rsidR="000524A4" w:rsidRPr="001E2C56" w:rsidRDefault="000524A4" w:rsidP="008A799A">
            <w:pPr>
              <w:pStyle w:val="ListParagraph"/>
              <w:rPr>
                <w:sz w:val="20"/>
              </w:rPr>
            </w:pPr>
          </w:p>
        </w:tc>
        <w:tc>
          <w:tcPr>
            <w:tcW w:w="3708" w:type="dxa"/>
          </w:tcPr>
          <w:p w14:paraId="640C2F58" w14:textId="77777777" w:rsidR="000524A4" w:rsidRPr="001E2C56" w:rsidRDefault="000524A4" w:rsidP="008A799A">
            <w:pPr>
              <w:pStyle w:val="ListParagraph"/>
              <w:ind w:left="342"/>
              <w:rPr>
                <w:sz w:val="20"/>
              </w:rPr>
            </w:pPr>
          </w:p>
          <w:p w14:paraId="640C2F5C" w14:textId="77777777" w:rsidR="000524A4" w:rsidRPr="001E2C56" w:rsidRDefault="000524A4" w:rsidP="008A799A">
            <w:pPr>
              <w:pStyle w:val="ListParagraph"/>
              <w:numPr>
                <w:ilvl w:val="0"/>
                <w:numId w:val="13"/>
              </w:numPr>
              <w:ind w:left="342"/>
              <w:rPr>
                <w:sz w:val="20"/>
              </w:rPr>
            </w:pPr>
            <w:r w:rsidRPr="001E2C56">
              <w:rPr>
                <w:sz w:val="20"/>
              </w:rPr>
              <w:t xml:space="preserve">Number </w:t>
            </w:r>
            <w:r w:rsidR="00BC4C7A">
              <w:rPr>
                <w:sz w:val="20"/>
              </w:rPr>
              <w:t xml:space="preserve">and percent </w:t>
            </w:r>
            <w:r w:rsidRPr="001E2C56">
              <w:rPr>
                <w:sz w:val="20"/>
              </w:rPr>
              <w:t>of applications by disadvantaged firms</w:t>
            </w:r>
            <w:r w:rsidR="00634AF7">
              <w:rPr>
                <w:sz w:val="20"/>
              </w:rPr>
              <w:t xml:space="preserve"> compared to historic numbers and rates of participation by SDBs</w:t>
            </w:r>
          </w:p>
          <w:p w14:paraId="640C2F5D" w14:textId="77777777" w:rsidR="000524A4" w:rsidRPr="001E2C56" w:rsidRDefault="000524A4" w:rsidP="008A799A">
            <w:pPr>
              <w:pStyle w:val="ListParagraph"/>
              <w:ind w:left="342"/>
              <w:rPr>
                <w:sz w:val="20"/>
              </w:rPr>
            </w:pPr>
          </w:p>
          <w:p w14:paraId="640C2F5E" w14:textId="77777777" w:rsidR="000524A4" w:rsidRPr="001E2C56" w:rsidRDefault="000524A4" w:rsidP="008A799A">
            <w:pPr>
              <w:pStyle w:val="ListParagraph"/>
              <w:numPr>
                <w:ilvl w:val="0"/>
                <w:numId w:val="13"/>
              </w:numPr>
              <w:ind w:left="342"/>
              <w:rPr>
                <w:sz w:val="20"/>
              </w:rPr>
            </w:pPr>
            <w:r w:rsidRPr="001E2C56">
              <w:rPr>
                <w:sz w:val="20"/>
              </w:rPr>
              <w:t xml:space="preserve">Number </w:t>
            </w:r>
            <w:r w:rsidR="00BC4C7A">
              <w:rPr>
                <w:sz w:val="20"/>
              </w:rPr>
              <w:t xml:space="preserve">and percent </w:t>
            </w:r>
            <w:r w:rsidRPr="001E2C56">
              <w:rPr>
                <w:sz w:val="20"/>
              </w:rPr>
              <w:t xml:space="preserve">of awards </w:t>
            </w:r>
            <w:r w:rsidR="00BC4C7A">
              <w:rPr>
                <w:sz w:val="20"/>
              </w:rPr>
              <w:t xml:space="preserve">and award dollars </w:t>
            </w:r>
            <w:r w:rsidRPr="001E2C56">
              <w:rPr>
                <w:sz w:val="20"/>
              </w:rPr>
              <w:t>to disadvantaged firms</w:t>
            </w:r>
          </w:p>
          <w:p w14:paraId="640C2F5F" w14:textId="77777777" w:rsidR="00F35D44" w:rsidRPr="001E2C56" w:rsidRDefault="00F35D44" w:rsidP="008A799A">
            <w:pPr>
              <w:rPr>
                <w:sz w:val="20"/>
              </w:rPr>
            </w:pPr>
          </w:p>
          <w:p w14:paraId="439E3353" w14:textId="77777777" w:rsidR="000524A4" w:rsidRDefault="0097676B" w:rsidP="008A799A">
            <w:pPr>
              <w:pStyle w:val="ListParagraph"/>
              <w:numPr>
                <w:ilvl w:val="0"/>
                <w:numId w:val="13"/>
              </w:numPr>
              <w:ind w:left="342"/>
              <w:rPr>
                <w:sz w:val="20"/>
              </w:rPr>
            </w:pPr>
            <w:r>
              <w:rPr>
                <w:sz w:val="20"/>
              </w:rPr>
              <w:t xml:space="preserve">Award Rate:  </w:t>
            </w:r>
            <w:r w:rsidR="000524A4" w:rsidRPr="001E2C56">
              <w:rPr>
                <w:sz w:val="20"/>
              </w:rPr>
              <w:t xml:space="preserve">Number of </w:t>
            </w:r>
            <w:r w:rsidR="00603BE3">
              <w:rPr>
                <w:sz w:val="20"/>
              </w:rPr>
              <w:t xml:space="preserve">SDB </w:t>
            </w:r>
            <w:r w:rsidR="000524A4" w:rsidRPr="001E2C56">
              <w:rPr>
                <w:sz w:val="20"/>
              </w:rPr>
              <w:t>awards /</w:t>
            </w:r>
            <w:r w:rsidR="00603BE3">
              <w:rPr>
                <w:sz w:val="20"/>
              </w:rPr>
              <w:t xml:space="preserve"> n</w:t>
            </w:r>
            <w:r w:rsidR="000524A4" w:rsidRPr="001E2C56">
              <w:rPr>
                <w:sz w:val="20"/>
              </w:rPr>
              <w:t>umber of</w:t>
            </w:r>
            <w:r w:rsidR="00603BE3">
              <w:rPr>
                <w:sz w:val="20"/>
              </w:rPr>
              <w:t xml:space="preserve"> SDB</w:t>
            </w:r>
            <w:r w:rsidR="000524A4" w:rsidRPr="001E2C56">
              <w:rPr>
                <w:sz w:val="20"/>
              </w:rPr>
              <w:t xml:space="preserve"> applications</w:t>
            </w:r>
            <w:r w:rsidR="00634AF7">
              <w:rPr>
                <w:sz w:val="20"/>
              </w:rPr>
              <w:t xml:space="preserve"> as compared to </w:t>
            </w:r>
            <w:r w:rsidR="00603BE3">
              <w:rPr>
                <w:sz w:val="20"/>
              </w:rPr>
              <w:t xml:space="preserve">the number of awards and number of applications submitted by </w:t>
            </w:r>
            <w:r w:rsidR="00634AF7">
              <w:rPr>
                <w:sz w:val="20"/>
              </w:rPr>
              <w:t xml:space="preserve">non-SDB awardees </w:t>
            </w:r>
          </w:p>
          <w:p w14:paraId="640C2F62" w14:textId="2B9D1670" w:rsidR="008A799A" w:rsidRPr="008A799A" w:rsidRDefault="008A799A" w:rsidP="008A799A">
            <w:pPr>
              <w:rPr>
                <w:sz w:val="20"/>
              </w:rPr>
            </w:pPr>
          </w:p>
        </w:tc>
      </w:tr>
      <w:tr w:rsidR="000524A4" w:rsidRPr="001E2C56" w14:paraId="640C2F7A" w14:textId="77777777" w:rsidTr="008A799A">
        <w:tc>
          <w:tcPr>
            <w:tcW w:w="6228" w:type="dxa"/>
          </w:tcPr>
          <w:p w14:paraId="640C2F65" w14:textId="54BB0C2D" w:rsidR="000524A4" w:rsidRPr="001E2C56" w:rsidRDefault="00D3092D" w:rsidP="008A799A">
            <w:pPr>
              <w:pStyle w:val="ListParagraph"/>
              <w:numPr>
                <w:ilvl w:val="0"/>
                <w:numId w:val="12"/>
              </w:numPr>
              <w:ind w:left="360"/>
              <w:rPr>
                <w:sz w:val="20"/>
              </w:rPr>
            </w:pPr>
            <w:r w:rsidRPr="001E2C56">
              <w:rPr>
                <w:b/>
                <w:i/>
                <w:color w:val="0070C0"/>
                <w:sz w:val="20"/>
              </w:rPr>
              <w:t xml:space="preserve">Targeted </w:t>
            </w:r>
            <w:r w:rsidR="000524A4" w:rsidRPr="001E2C56">
              <w:rPr>
                <w:b/>
                <w:i/>
                <w:color w:val="0070C0"/>
                <w:sz w:val="20"/>
              </w:rPr>
              <w:t>Geographic Outreach</w:t>
            </w:r>
            <w:r w:rsidR="000524A4" w:rsidRPr="001E2C56">
              <w:rPr>
                <w:b/>
                <w:i/>
                <w:sz w:val="20"/>
              </w:rPr>
              <w:t>:</w:t>
            </w:r>
            <w:r w:rsidR="000524A4" w:rsidRPr="001E2C56">
              <w:rPr>
                <w:sz w:val="20"/>
              </w:rPr>
              <w:t xml:space="preserve"> </w:t>
            </w:r>
            <w:r w:rsidRPr="001E2C56">
              <w:rPr>
                <w:sz w:val="20"/>
              </w:rPr>
              <w:t>SBA has identified targeted geographic areas as those states that are in the bottom half of receiving SBIR/STTR awards.</w:t>
            </w:r>
          </w:p>
          <w:p w14:paraId="640C2F66" w14:textId="77777777" w:rsidR="000524A4" w:rsidRPr="001E2C56" w:rsidRDefault="000524A4" w:rsidP="008A799A">
            <w:pPr>
              <w:pStyle w:val="ListParagraph"/>
              <w:ind w:left="360"/>
              <w:rPr>
                <w:sz w:val="20"/>
              </w:rPr>
            </w:pPr>
            <w:r w:rsidRPr="001E2C56">
              <w:rPr>
                <w:sz w:val="20"/>
              </w:rPr>
              <w:t xml:space="preserve"> </w:t>
            </w:r>
          </w:p>
          <w:p w14:paraId="640C2F67" w14:textId="77777777" w:rsidR="000524A4" w:rsidRPr="001E2C56" w:rsidRDefault="000524A4" w:rsidP="008A799A">
            <w:pPr>
              <w:pStyle w:val="ListParagraph"/>
              <w:numPr>
                <w:ilvl w:val="1"/>
                <w:numId w:val="12"/>
              </w:numPr>
              <w:ind w:left="720"/>
              <w:rPr>
                <w:sz w:val="20"/>
              </w:rPr>
            </w:pPr>
            <w:r w:rsidRPr="001E2C56">
              <w:rPr>
                <w:sz w:val="20"/>
              </w:rPr>
              <w:t xml:space="preserve">Are more businesses </w:t>
            </w:r>
            <w:r w:rsidR="00D3092D" w:rsidRPr="001E2C56">
              <w:rPr>
                <w:sz w:val="20"/>
              </w:rPr>
              <w:t xml:space="preserve">in targeted geographic areas </w:t>
            </w:r>
            <w:r w:rsidRPr="001E2C56">
              <w:rPr>
                <w:sz w:val="20"/>
              </w:rPr>
              <w:t>applying to the program?</w:t>
            </w:r>
          </w:p>
          <w:p w14:paraId="640C2F68" w14:textId="77777777" w:rsidR="000524A4" w:rsidRPr="001E2C56" w:rsidRDefault="000524A4" w:rsidP="008A799A">
            <w:pPr>
              <w:pStyle w:val="ListParagraph"/>
              <w:ind w:left="1080"/>
              <w:rPr>
                <w:sz w:val="20"/>
              </w:rPr>
            </w:pPr>
          </w:p>
          <w:p w14:paraId="640C2F69" w14:textId="77777777" w:rsidR="000524A4" w:rsidRPr="001E2C56" w:rsidRDefault="000524A4" w:rsidP="008A799A">
            <w:pPr>
              <w:pStyle w:val="ListParagraph"/>
              <w:numPr>
                <w:ilvl w:val="1"/>
                <w:numId w:val="12"/>
              </w:numPr>
              <w:ind w:left="720"/>
              <w:rPr>
                <w:sz w:val="20"/>
              </w:rPr>
            </w:pPr>
            <w:r w:rsidRPr="001E2C56">
              <w:rPr>
                <w:sz w:val="20"/>
              </w:rPr>
              <w:t xml:space="preserve">Are they receiving awards? </w:t>
            </w:r>
          </w:p>
          <w:p w14:paraId="640C2F6A" w14:textId="77777777" w:rsidR="000524A4" w:rsidRPr="001E2C56" w:rsidRDefault="000524A4" w:rsidP="008A799A">
            <w:pPr>
              <w:rPr>
                <w:sz w:val="20"/>
              </w:rPr>
            </w:pPr>
          </w:p>
          <w:p w14:paraId="640C2F6B" w14:textId="77777777" w:rsidR="000524A4" w:rsidRPr="001E2C56" w:rsidRDefault="000524A4" w:rsidP="008A799A">
            <w:pPr>
              <w:pStyle w:val="ListParagraph"/>
              <w:numPr>
                <w:ilvl w:val="1"/>
                <w:numId w:val="12"/>
              </w:numPr>
              <w:ind w:left="720"/>
              <w:rPr>
                <w:sz w:val="20"/>
              </w:rPr>
            </w:pPr>
            <w:r w:rsidRPr="001E2C56">
              <w:rPr>
                <w:sz w:val="20"/>
              </w:rPr>
              <w:t xml:space="preserve">Is the </w:t>
            </w:r>
            <w:r w:rsidR="0097676B">
              <w:rPr>
                <w:sz w:val="20"/>
              </w:rPr>
              <w:t>award</w:t>
            </w:r>
            <w:r w:rsidRPr="001E2C56">
              <w:rPr>
                <w:sz w:val="20"/>
              </w:rPr>
              <w:t xml:space="preserve"> </w:t>
            </w:r>
            <w:r w:rsidR="0097676B">
              <w:rPr>
                <w:sz w:val="20"/>
              </w:rPr>
              <w:t xml:space="preserve">or success rate </w:t>
            </w:r>
            <w:r w:rsidRPr="001E2C56">
              <w:rPr>
                <w:sz w:val="20"/>
              </w:rPr>
              <w:t xml:space="preserve">rate for </w:t>
            </w:r>
            <w:r w:rsidR="00D3092D" w:rsidRPr="001E2C56">
              <w:rPr>
                <w:sz w:val="20"/>
              </w:rPr>
              <w:t xml:space="preserve">businesses in targeted geographic </w:t>
            </w:r>
            <w:r w:rsidR="00106EA8" w:rsidRPr="001E2C56">
              <w:rPr>
                <w:sz w:val="20"/>
              </w:rPr>
              <w:t>areas different</w:t>
            </w:r>
            <w:r w:rsidRPr="001E2C56">
              <w:rPr>
                <w:sz w:val="20"/>
              </w:rPr>
              <w:t xml:space="preserve"> than for firms</w:t>
            </w:r>
            <w:r w:rsidR="00D3092D" w:rsidRPr="001E2C56">
              <w:rPr>
                <w:sz w:val="20"/>
              </w:rPr>
              <w:t xml:space="preserve"> not in targeted geographic areas</w:t>
            </w:r>
            <w:r w:rsidRPr="001E2C56">
              <w:rPr>
                <w:sz w:val="20"/>
              </w:rPr>
              <w:t>?</w:t>
            </w:r>
          </w:p>
          <w:p w14:paraId="0C6C147B" w14:textId="77777777" w:rsidR="008A5EF7" w:rsidRDefault="008A5EF7" w:rsidP="008A799A">
            <w:pPr>
              <w:ind w:left="360"/>
              <w:rPr>
                <w:sz w:val="20"/>
              </w:rPr>
            </w:pPr>
          </w:p>
          <w:p w14:paraId="60F71F0E" w14:textId="7F8E4935" w:rsidR="000524A4" w:rsidRDefault="000524A4" w:rsidP="008A799A">
            <w:pPr>
              <w:ind w:left="360"/>
              <w:rPr>
                <w:sz w:val="20"/>
              </w:rPr>
            </w:pPr>
            <w:r w:rsidRPr="001E2C56">
              <w:rPr>
                <w:sz w:val="20"/>
              </w:rPr>
              <w:t xml:space="preserve">Rationale: </w:t>
            </w:r>
            <w:r w:rsidR="00D3092D" w:rsidRPr="001E2C56">
              <w:rPr>
                <w:sz w:val="20"/>
              </w:rPr>
              <w:t xml:space="preserve">Helps identify whether outreach </w:t>
            </w:r>
            <w:r w:rsidR="00096111" w:rsidRPr="001E2C56">
              <w:rPr>
                <w:sz w:val="20"/>
              </w:rPr>
              <w:t xml:space="preserve">to targeted geographic areas </w:t>
            </w:r>
            <w:r w:rsidR="00D3092D" w:rsidRPr="001E2C56">
              <w:rPr>
                <w:sz w:val="20"/>
              </w:rPr>
              <w:t>is improving.</w:t>
            </w:r>
          </w:p>
          <w:p w14:paraId="640C2F6E" w14:textId="228D4A37" w:rsidR="008A799A" w:rsidRPr="008A5EF7" w:rsidRDefault="008A799A" w:rsidP="008A799A">
            <w:pPr>
              <w:ind w:left="360"/>
              <w:rPr>
                <w:sz w:val="20"/>
              </w:rPr>
            </w:pPr>
          </w:p>
        </w:tc>
        <w:tc>
          <w:tcPr>
            <w:tcW w:w="3708" w:type="dxa"/>
          </w:tcPr>
          <w:p w14:paraId="640C2F72" w14:textId="77777777" w:rsidR="000524A4" w:rsidRPr="001E2C56" w:rsidRDefault="000524A4" w:rsidP="008A799A">
            <w:pPr>
              <w:pStyle w:val="ListParagraph"/>
              <w:ind w:left="342"/>
              <w:rPr>
                <w:sz w:val="20"/>
              </w:rPr>
            </w:pPr>
          </w:p>
          <w:p w14:paraId="6CF1E8A0" w14:textId="226A674B" w:rsidR="008A5EF7" w:rsidRDefault="000524A4" w:rsidP="008A799A">
            <w:pPr>
              <w:pStyle w:val="ListParagraph"/>
              <w:numPr>
                <w:ilvl w:val="0"/>
                <w:numId w:val="13"/>
              </w:numPr>
              <w:ind w:left="342"/>
              <w:rPr>
                <w:sz w:val="20"/>
              </w:rPr>
            </w:pPr>
            <w:r w:rsidRPr="001E2C56">
              <w:rPr>
                <w:sz w:val="20"/>
              </w:rPr>
              <w:t xml:space="preserve">Number of applications by </w:t>
            </w:r>
            <w:r w:rsidR="00D3092D" w:rsidRPr="001E2C56">
              <w:rPr>
                <w:sz w:val="20"/>
              </w:rPr>
              <w:t>firms in targeted geographic areas</w:t>
            </w:r>
            <w:r w:rsidR="00AC69AA">
              <w:rPr>
                <w:sz w:val="20"/>
              </w:rPr>
              <w:t xml:space="preserve"> as compared to the number of applications from firms in those geographic areas o</w:t>
            </w:r>
            <w:r w:rsidR="008A799A">
              <w:rPr>
                <w:sz w:val="20"/>
              </w:rPr>
              <w:t>ver the previous 5 fiscal years</w:t>
            </w:r>
          </w:p>
          <w:p w14:paraId="2164E9B6" w14:textId="77777777" w:rsidR="008A5EF7" w:rsidRPr="008A5EF7" w:rsidRDefault="008A5EF7" w:rsidP="008A799A">
            <w:pPr>
              <w:pStyle w:val="ListParagraph"/>
              <w:ind w:left="342"/>
              <w:rPr>
                <w:sz w:val="20"/>
              </w:rPr>
            </w:pPr>
          </w:p>
          <w:p w14:paraId="640C2F75" w14:textId="77777777" w:rsidR="000524A4" w:rsidRPr="001E2C56" w:rsidRDefault="000524A4" w:rsidP="008A799A">
            <w:pPr>
              <w:pStyle w:val="ListParagraph"/>
              <w:numPr>
                <w:ilvl w:val="0"/>
                <w:numId w:val="13"/>
              </w:numPr>
              <w:ind w:left="342"/>
              <w:rPr>
                <w:sz w:val="20"/>
              </w:rPr>
            </w:pPr>
            <w:r w:rsidRPr="001E2C56">
              <w:rPr>
                <w:sz w:val="20"/>
              </w:rPr>
              <w:t xml:space="preserve">Number of awards to </w:t>
            </w:r>
            <w:r w:rsidR="00D3092D" w:rsidRPr="001E2C56">
              <w:rPr>
                <w:sz w:val="20"/>
              </w:rPr>
              <w:t>firms in targeted geographic areas</w:t>
            </w:r>
            <w:r w:rsidR="00AC69AA">
              <w:rPr>
                <w:sz w:val="20"/>
              </w:rPr>
              <w:t xml:space="preserve"> </w:t>
            </w:r>
          </w:p>
          <w:p w14:paraId="640C2F76" w14:textId="77777777" w:rsidR="00BC4C7A" w:rsidRDefault="00BC4C7A" w:rsidP="008A799A">
            <w:pPr>
              <w:pStyle w:val="ListParagraph"/>
              <w:ind w:left="342"/>
              <w:rPr>
                <w:sz w:val="20"/>
              </w:rPr>
            </w:pPr>
          </w:p>
          <w:p w14:paraId="640C2F77" w14:textId="109B8572" w:rsidR="000524A4" w:rsidRPr="001E2C56" w:rsidRDefault="0097676B" w:rsidP="008A799A">
            <w:pPr>
              <w:pStyle w:val="ListParagraph"/>
              <w:numPr>
                <w:ilvl w:val="0"/>
                <w:numId w:val="13"/>
              </w:numPr>
              <w:ind w:left="342"/>
              <w:rPr>
                <w:sz w:val="20"/>
              </w:rPr>
            </w:pPr>
            <w:r>
              <w:rPr>
                <w:sz w:val="20"/>
              </w:rPr>
              <w:t xml:space="preserve">Award rate: </w:t>
            </w:r>
            <w:r w:rsidR="000524A4" w:rsidRPr="001E2C56">
              <w:rPr>
                <w:sz w:val="20"/>
              </w:rPr>
              <w:t>Number of awards /Number of applications</w:t>
            </w:r>
          </w:p>
          <w:p w14:paraId="640C2F78" w14:textId="77777777" w:rsidR="000524A4" w:rsidRPr="001E2C56" w:rsidRDefault="000524A4" w:rsidP="008A799A">
            <w:pPr>
              <w:rPr>
                <w:sz w:val="20"/>
              </w:rPr>
            </w:pPr>
          </w:p>
          <w:p w14:paraId="640C2F79" w14:textId="77777777" w:rsidR="000524A4" w:rsidRPr="001E2C56" w:rsidRDefault="000524A4" w:rsidP="008A799A">
            <w:pPr>
              <w:ind w:left="-18"/>
              <w:rPr>
                <w:sz w:val="20"/>
              </w:rPr>
            </w:pPr>
          </w:p>
        </w:tc>
      </w:tr>
      <w:tr w:rsidR="002B35E0" w:rsidRPr="001E2C56" w14:paraId="640C2F8B" w14:textId="77777777" w:rsidTr="008A799A">
        <w:trPr>
          <w:cantSplit/>
        </w:trPr>
        <w:tc>
          <w:tcPr>
            <w:tcW w:w="6228" w:type="dxa"/>
          </w:tcPr>
          <w:p w14:paraId="640C2F7C" w14:textId="77777777" w:rsidR="00D3092D" w:rsidRPr="001E2C56" w:rsidRDefault="00D3092D" w:rsidP="008A799A">
            <w:pPr>
              <w:pStyle w:val="ListParagraph"/>
              <w:numPr>
                <w:ilvl w:val="0"/>
                <w:numId w:val="12"/>
              </w:numPr>
              <w:ind w:left="360"/>
              <w:rPr>
                <w:sz w:val="20"/>
              </w:rPr>
            </w:pPr>
            <w:r w:rsidRPr="001E2C56">
              <w:rPr>
                <w:b/>
                <w:i/>
                <w:color w:val="0070C0"/>
                <w:sz w:val="20"/>
              </w:rPr>
              <w:lastRenderedPageBreak/>
              <w:t xml:space="preserve">Outreach Activity </w:t>
            </w:r>
            <w:r w:rsidR="00106EA8" w:rsidRPr="001E2C56">
              <w:rPr>
                <w:b/>
                <w:i/>
                <w:color w:val="0070C0"/>
                <w:sz w:val="20"/>
              </w:rPr>
              <w:t>Assessment</w:t>
            </w:r>
            <w:r w:rsidRPr="001E2C56">
              <w:rPr>
                <w:sz w:val="20"/>
              </w:rPr>
              <w:t xml:space="preserve">:  </w:t>
            </w:r>
          </w:p>
          <w:p w14:paraId="640C2F7D" w14:textId="77777777" w:rsidR="00D3092D" w:rsidRPr="001E2C56" w:rsidRDefault="00D3092D" w:rsidP="008A799A">
            <w:pPr>
              <w:pStyle w:val="ListParagraph"/>
              <w:ind w:left="360"/>
              <w:rPr>
                <w:b/>
                <w:i/>
                <w:color w:val="0070C0"/>
                <w:sz w:val="20"/>
              </w:rPr>
            </w:pPr>
          </w:p>
          <w:p w14:paraId="640C2F7E" w14:textId="77777777" w:rsidR="00D3092D" w:rsidRPr="001E2C56" w:rsidRDefault="002B35E0" w:rsidP="008A799A">
            <w:pPr>
              <w:pStyle w:val="ListParagraph"/>
              <w:numPr>
                <w:ilvl w:val="1"/>
                <w:numId w:val="12"/>
              </w:numPr>
              <w:ind w:left="720"/>
              <w:rPr>
                <w:sz w:val="20"/>
              </w:rPr>
            </w:pPr>
            <w:r w:rsidRPr="001E2C56">
              <w:rPr>
                <w:sz w:val="20"/>
              </w:rPr>
              <w:t>What is the most effective way to increase outreach to the general population?</w:t>
            </w:r>
            <w:r w:rsidR="00D3092D" w:rsidRPr="001E2C56">
              <w:rPr>
                <w:sz w:val="20"/>
              </w:rPr>
              <w:t xml:space="preserve"> </w:t>
            </w:r>
          </w:p>
          <w:p w14:paraId="640C2F7F" w14:textId="7E87365C" w:rsidR="00D3092D" w:rsidRPr="001E2C56" w:rsidRDefault="00D61A4A" w:rsidP="008A799A">
            <w:pPr>
              <w:pStyle w:val="ListParagraph"/>
              <w:numPr>
                <w:ilvl w:val="1"/>
                <w:numId w:val="12"/>
              </w:numPr>
              <w:ind w:left="720"/>
              <w:rPr>
                <w:sz w:val="20"/>
              </w:rPr>
            </w:pPr>
            <w:r>
              <w:rPr>
                <w:sz w:val="20"/>
              </w:rPr>
              <w:t>What is the most effective way to increase outreach to w</w:t>
            </w:r>
            <w:r w:rsidR="00D3092D" w:rsidRPr="001E2C56">
              <w:rPr>
                <w:sz w:val="20"/>
              </w:rPr>
              <w:t>omen-owned</w:t>
            </w:r>
            <w:r>
              <w:rPr>
                <w:sz w:val="20"/>
              </w:rPr>
              <w:t xml:space="preserve"> small business cocnerns</w:t>
            </w:r>
            <w:r w:rsidR="00D3092D" w:rsidRPr="001E2C56">
              <w:rPr>
                <w:sz w:val="20"/>
              </w:rPr>
              <w:t xml:space="preserve">? </w:t>
            </w:r>
          </w:p>
          <w:p w14:paraId="640C2F80" w14:textId="243D6DEC" w:rsidR="00D3092D" w:rsidRPr="001E2C56" w:rsidRDefault="00D61A4A" w:rsidP="008A799A">
            <w:pPr>
              <w:pStyle w:val="ListParagraph"/>
              <w:numPr>
                <w:ilvl w:val="1"/>
                <w:numId w:val="12"/>
              </w:numPr>
              <w:ind w:left="720"/>
              <w:rPr>
                <w:sz w:val="20"/>
              </w:rPr>
            </w:pPr>
            <w:r>
              <w:rPr>
                <w:sz w:val="20"/>
              </w:rPr>
              <w:t>What is the most effective way to increase outreach to d</w:t>
            </w:r>
            <w:r w:rsidR="00D3092D" w:rsidRPr="001E2C56">
              <w:rPr>
                <w:sz w:val="20"/>
              </w:rPr>
              <w:t>isadvantaged</w:t>
            </w:r>
            <w:r>
              <w:rPr>
                <w:sz w:val="20"/>
              </w:rPr>
              <w:t xml:space="preserve"> small business concerns</w:t>
            </w:r>
            <w:r w:rsidR="00D3092D" w:rsidRPr="001E2C56">
              <w:rPr>
                <w:sz w:val="20"/>
              </w:rPr>
              <w:t xml:space="preserve">? </w:t>
            </w:r>
          </w:p>
          <w:p w14:paraId="640C2F81" w14:textId="7085FCA5" w:rsidR="002B35E0" w:rsidRPr="001E2C56" w:rsidRDefault="00D61A4A" w:rsidP="008A799A">
            <w:pPr>
              <w:pStyle w:val="ListParagraph"/>
              <w:numPr>
                <w:ilvl w:val="1"/>
                <w:numId w:val="12"/>
              </w:numPr>
              <w:ind w:left="720"/>
              <w:rPr>
                <w:sz w:val="20"/>
              </w:rPr>
            </w:pPr>
            <w:r>
              <w:rPr>
                <w:sz w:val="20"/>
              </w:rPr>
              <w:t>What is the most effective way to increase outreach to t</w:t>
            </w:r>
            <w:r w:rsidR="00D3092D" w:rsidRPr="001E2C56">
              <w:rPr>
                <w:sz w:val="20"/>
              </w:rPr>
              <w:t xml:space="preserve">argeted </w:t>
            </w:r>
            <w:r>
              <w:rPr>
                <w:sz w:val="20"/>
              </w:rPr>
              <w:t>g</w:t>
            </w:r>
            <w:r w:rsidR="00D3092D" w:rsidRPr="001E2C56">
              <w:rPr>
                <w:sz w:val="20"/>
              </w:rPr>
              <w:t xml:space="preserve">eographic </w:t>
            </w:r>
            <w:r>
              <w:rPr>
                <w:sz w:val="20"/>
              </w:rPr>
              <w:t>a</w:t>
            </w:r>
            <w:r w:rsidR="00D3092D" w:rsidRPr="001E2C56">
              <w:rPr>
                <w:sz w:val="20"/>
              </w:rPr>
              <w:t>rea</w:t>
            </w:r>
            <w:r>
              <w:rPr>
                <w:sz w:val="20"/>
              </w:rPr>
              <w:t>s</w:t>
            </w:r>
            <w:r w:rsidR="00D3092D" w:rsidRPr="001E2C56">
              <w:rPr>
                <w:sz w:val="20"/>
              </w:rPr>
              <w:t>?</w:t>
            </w:r>
          </w:p>
          <w:p w14:paraId="640C2F82" w14:textId="77777777" w:rsidR="002B35E0" w:rsidRPr="001E2C56" w:rsidRDefault="002B35E0" w:rsidP="008A799A">
            <w:pPr>
              <w:pStyle w:val="ListParagraph"/>
              <w:ind w:left="360"/>
              <w:rPr>
                <w:sz w:val="20"/>
              </w:rPr>
            </w:pPr>
          </w:p>
          <w:p w14:paraId="640C2F83" w14:textId="77A989BD" w:rsidR="002B35E0" w:rsidRPr="001E2C56" w:rsidRDefault="002B35E0" w:rsidP="008A799A">
            <w:pPr>
              <w:ind w:left="360"/>
              <w:rPr>
                <w:sz w:val="20"/>
              </w:rPr>
            </w:pPr>
            <w:r w:rsidRPr="005E0F14">
              <w:rPr>
                <w:sz w:val="20"/>
              </w:rPr>
              <w:t>Rationale</w:t>
            </w:r>
            <w:r w:rsidRPr="001E2C56">
              <w:rPr>
                <w:sz w:val="20"/>
              </w:rPr>
              <w:t xml:space="preserve">: </w:t>
            </w:r>
            <w:r w:rsidR="00D3092D" w:rsidRPr="001E2C56">
              <w:rPr>
                <w:sz w:val="20"/>
              </w:rPr>
              <w:t xml:space="preserve">Helps identify whether new initiatives are effective in increasing applicant pool. </w:t>
            </w:r>
            <w:r w:rsidR="00002A91">
              <w:rPr>
                <w:sz w:val="20"/>
              </w:rPr>
              <w:t xml:space="preserve">However, it should be recognized that it may take years before businesses may apply for an award after hearing about the SBIR program.  </w:t>
            </w:r>
          </w:p>
          <w:p w14:paraId="640C2F84" w14:textId="77777777" w:rsidR="002B35E0" w:rsidRPr="001E2C56" w:rsidRDefault="002B35E0" w:rsidP="008A799A">
            <w:pPr>
              <w:pStyle w:val="ListParagraph"/>
              <w:ind w:left="360"/>
              <w:rPr>
                <w:sz w:val="20"/>
              </w:rPr>
            </w:pPr>
          </w:p>
        </w:tc>
        <w:tc>
          <w:tcPr>
            <w:tcW w:w="3708" w:type="dxa"/>
          </w:tcPr>
          <w:p w14:paraId="640C2F85" w14:textId="77777777" w:rsidR="002B35E0" w:rsidRPr="001E2C56" w:rsidRDefault="002B35E0" w:rsidP="008A799A">
            <w:pPr>
              <w:pStyle w:val="ListParagraph"/>
              <w:ind w:left="342"/>
              <w:rPr>
                <w:sz w:val="20"/>
              </w:rPr>
            </w:pPr>
          </w:p>
          <w:p w14:paraId="640C2F86" w14:textId="77777777" w:rsidR="00D3092D" w:rsidRPr="001E2C56" w:rsidRDefault="00D3092D" w:rsidP="008A799A">
            <w:pPr>
              <w:pStyle w:val="ListParagraph"/>
              <w:ind w:left="342"/>
              <w:rPr>
                <w:sz w:val="20"/>
              </w:rPr>
            </w:pPr>
          </w:p>
          <w:p w14:paraId="4B9EAA55" w14:textId="3E160654" w:rsidR="008A5EF7" w:rsidRDefault="00D3092D" w:rsidP="008A799A">
            <w:pPr>
              <w:pStyle w:val="ListParagraph"/>
              <w:numPr>
                <w:ilvl w:val="0"/>
                <w:numId w:val="23"/>
              </w:numPr>
              <w:rPr>
                <w:sz w:val="20"/>
              </w:rPr>
            </w:pPr>
            <w:r w:rsidRPr="008A5EF7">
              <w:rPr>
                <w:sz w:val="20"/>
              </w:rPr>
              <w:t xml:space="preserve">New applicants should identify how they </w:t>
            </w:r>
            <w:r w:rsidR="0054080E" w:rsidRPr="008A5EF7">
              <w:rPr>
                <w:sz w:val="20"/>
              </w:rPr>
              <w:t>learn</w:t>
            </w:r>
            <w:r w:rsidRPr="008A5EF7">
              <w:rPr>
                <w:sz w:val="20"/>
              </w:rPr>
              <w:t xml:space="preserve"> about the program. This should then be </w:t>
            </w:r>
            <w:r w:rsidR="00F35D44" w:rsidRPr="008A5EF7">
              <w:rPr>
                <w:sz w:val="20"/>
              </w:rPr>
              <w:t xml:space="preserve">analyzed via a </w:t>
            </w:r>
            <w:r w:rsidR="001E2C56" w:rsidRPr="008A5EF7">
              <w:rPr>
                <w:sz w:val="20"/>
              </w:rPr>
              <w:t>bar chart</w:t>
            </w:r>
            <w:r w:rsidRPr="008A5EF7">
              <w:rPr>
                <w:sz w:val="20"/>
              </w:rPr>
              <w:t xml:space="preserve"> to ident</w:t>
            </w:r>
            <w:r w:rsidR="000000F8" w:rsidRPr="008A5EF7">
              <w:rPr>
                <w:sz w:val="20"/>
              </w:rPr>
              <w:t>ify what activities are working for each targeted population.</w:t>
            </w:r>
            <w:r w:rsidR="001E2C56" w:rsidRPr="008A5EF7">
              <w:rPr>
                <w:sz w:val="20"/>
              </w:rPr>
              <w:t xml:space="preserve">  An example is </w:t>
            </w:r>
            <w:r w:rsidR="002F7A8C" w:rsidRPr="008A5EF7">
              <w:rPr>
                <w:sz w:val="20"/>
              </w:rPr>
              <w:t xml:space="preserve">shown </w:t>
            </w:r>
            <w:r w:rsidR="00F07D6C" w:rsidRPr="008A5EF7">
              <w:rPr>
                <w:sz w:val="20"/>
              </w:rPr>
              <w:t>below</w:t>
            </w:r>
          </w:p>
          <w:p w14:paraId="0B37B7CB" w14:textId="77777777" w:rsidR="008A5EF7" w:rsidRDefault="008A5EF7" w:rsidP="008A799A">
            <w:pPr>
              <w:pStyle w:val="ListParagraph"/>
              <w:ind w:left="360"/>
              <w:rPr>
                <w:sz w:val="20"/>
              </w:rPr>
            </w:pPr>
          </w:p>
          <w:p w14:paraId="640C2F89" w14:textId="0F5FDDFA" w:rsidR="00F35D44" w:rsidRPr="008A5EF7" w:rsidRDefault="00F26DB7" w:rsidP="008A799A">
            <w:pPr>
              <w:pStyle w:val="ListParagraph"/>
              <w:numPr>
                <w:ilvl w:val="0"/>
                <w:numId w:val="23"/>
              </w:numPr>
              <w:rPr>
                <w:sz w:val="20"/>
              </w:rPr>
            </w:pPr>
            <w:r w:rsidRPr="008A5EF7">
              <w:rPr>
                <w:sz w:val="20"/>
              </w:rPr>
              <w:t xml:space="preserve">Cost per applicant can also be assessed based on the cost of the </w:t>
            </w:r>
            <w:r w:rsidR="00D251BB" w:rsidRPr="008A5EF7">
              <w:rPr>
                <w:sz w:val="20"/>
              </w:rPr>
              <w:t>activity in</w:t>
            </w:r>
            <w:r w:rsidRPr="008A5EF7">
              <w:rPr>
                <w:sz w:val="20"/>
              </w:rPr>
              <w:t xml:space="preserve"> comparison to the nu</w:t>
            </w:r>
            <w:r w:rsidR="006F20A3" w:rsidRPr="008A5EF7">
              <w:rPr>
                <w:sz w:val="20"/>
              </w:rPr>
              <w:t>mber of applicants it attr</w:t>
            </w:r>
            <w:r w:rsidR="008A799A">
              <w:rPr>
                <w:sz w:val="20"/>
              </w:rPr>
              <w:t>acted or the increase in number</w:t>
            </w:r>
            <w:r w:rsidR="00002A91" w:rsidRPr="008A5EF7">
              <w:rPr>
                <w:sz w:val="20"/>
              </w:rPr>
              <w:t xml:space="preserve"> </w:t>
            </w:r>
          </w:p>
          <w:p w14:paraId="640C2F8A" w14:textId="77777777" w:rsidR="0054080E" w:rsidRPr="001E2C56" w:rsidRDefault="0054080E" w:rsidP="008A799A">
            <w:pPr>
              <w:rPr>
                <w:sz w:val="20"/>
              </w:rPr>
            </w:pPr>
          </w:p>
        </w:tc>
      </w:tr>
    </w:tbl>
    <w:p w14:paraId="640C2F8C" w14:textId="77777777" w:rsidR="003E7613" w:rsidRDefault="003E7613" w:rsidP="006856DA"/>
    <w:p w14:paraId="640C2F8D" w14:textId="77777777" w:rsidR="0054080E" w:rsidRDefault="0054080E">
      <w:pPr>
        <w:jc w:val="left"/>
      </w:pPr>
      <w:r w:rsidRPr="001E2C56">
        <w:rPr>
          <w:noProof/>
          <w:sz w:val="20"/>
          <w:shd w:val="clear" w:color="auto" w:fill="FFFFFF" w:themeFill="background1"/>
        </w:rPr>
        <w:drawing>
          <wp:inline distT="0" distB="0" distL="0" distR="0" wp14:anchorId="640C3041" wp14:editId="640C3042">
            <wp:extent cx="6035040" cy="3730752"/>
            <wp:effectExtent l="0" t="0" r="22860" b="222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t xml:space="preserve"> </w:t>
      </w:r>
    </w:p>
    <w:p w14:paraId="640C2F8E" w14:textId="77777777" w:rsidR="0054080E" w:rsidRDefault="0054080E">
      <w:pPr>
        <w:jc w:val="left"/>
      </w:pPr>
    </w:p>
    <w:p w14:paraId="640C2F8F" w14:textId="6DFDA94B" w:rsidR="00D62E81" w:rsidRDefault="0054080E" w:rsidP="008A799A">
      <w:r>
        <w:t xml:space="preserve">If the above chart contained actual data, one could </w:t>
      </w:r>
      <w:r w:rsidR="00D62E81">
        <w:t>conclude</w:t>
      </w:r>
      <w:r>
        <w:t xml:space="preserve"> that the website is the primary source for learning about the program. However, educational events appear to effectively target women-owned firms.  </w:t>
      </w:r>
    </w:p>
    <w:p w14:paraId="640C2F90" w14:textId="77777777" w:rsidR="00D62E81" w:rsidRDefault="00D62E81" w:rsidP="008A799A"/>
    <w:p w14:paraId="640C2F91" w14:textId="77777777" w:rsidR="0054080E" w:rsidRDefault="0054080E" w:rsidP="008A799A">
      <w:r>
        <w:t>The exact categories</w:t>
      </w:r>
      <w:r w:rsidR="00D62E81">
        <w:t xml:space="preserve"> in the above chart</w:t>
      </w:r>
      <w:r>
        <w:t xml:space="preserve"> would depend on the marketing activities</w:t>
      </w:r>
      <w:r w:rsidR="00D62E81">
        <w:t xml:space="preserve"> we wanted </w:t>
      </w:r>
      <w:r w:rsidR="00B10DBF">
        <w:t>to</w:t>
      </w:r>
      <w:r w:rsidR="00D62E81">
        <w:t xml:space="preserve"> assess</w:t>
      </w:r>
      <w:r>
        <w:t xml:space="preserve">.  Applicants should be allowed to choose multiple </w:t>
      </w:r>
      <w:r w:rsidR="00B065FB">
        <w:t>categories</w:t>
      </w:r>
      <w:r>
        <w:t xml:space="preserve">.  </w:t>
      </w:r>
    </w:p>
    <w:p w14:paraId="640C2F92" w14:textId="77777777" w:rsidR="0054080E" w:rsidRDefault="0054080E" w:rsidP="008A799A"/>
    <w:p w14:paraId="640C2F95" w14:textId="5F3A4385" w:rsidR="00574799" w:rsidRPr="00B629EF" w:rsidRDefault="00574799" w:rsidP="008A799A">
      <w:pPr>
        <w:pStyle w:val="Heading2"/>
        <w:tabs>
          <w:tab w:val="clear" w:pos="1080"/>
        </w:tabs>
        <w:ind w:left="360" w:hanging="360"/>
        <w:rPr>
          <w:rFonts w:asciiTheme="minorHAnsi" w:hAnsiTheme="minorHAnsi"/>
        </w:rPr>
      </w:pPr>
      <w:bookmarkStart w:id="31" w:name="_Toc391044060"/>
      <w:bookmarkStart w:id="32" w:name="_Toc398119190"/>
      <w:r w:rsidRPr="00B629EF">
        <w:rPr>
          <w:rFonts w:asciiTheme="minorHAnsi" w:hAnsiTheme="minorHAnsi"/>
        </w:rPr>
        <w:t>Complianc</w:t>
      </w:r>
      <w:r w:rsidR="00D61A4A">
        <w:rPr>
          <w:rFonts w:asciiTheme="minorHAnsi" w:hAnsiTheme="minorHAnsi"/>
        </w:rPr>
        <w:t>e</w:t>
      </w:r>
      <w:r w:rsidRPr="00B629EF">
        <w:rPr>
          <w:rFonts w:asciiTheme="minorHAnsi" w:hAnsiTheme="minorHAnsi"/>
        </w:rPr>
        <w:t xml:space="preserve"> and Efficiency</w:t>
      </w:r>
      <w:bookmarkEnd w:id="31"/>
      <w:bookmarkEnd w:id="32"/>
    </w:p>
    <w:p w14:paraId="640C2F97" w14:textId="375487DA" w:rsidR="00574799" w:rsidRDefault="00BC4C7A" w:rsidP="008A799A">
      <w:r>
        <w:t xml:space="preserve">Rationale: </w:t>
      </w:r>
      <w:r w:rsidR="00574799">
        <w:t>These metrics are to ensure compliance with the requirements set forth by st</w:t>
      </w:r>
      <w:r>
        <w:t>atute</w:t>
      </w:r>
      <w:r w:rsidR="00302AB8">
        <w:t>,</w:t>
      </w:r>
      <w:r>
        <w:t xml:space="preserve"> the p</w:t>
      </w:r>
      <w:r w:rsidR="00302AB8">
        <w:t>olicy</w:t>
      </w:r>
      <w:r>
        <w:t xml:space="preserve"> directive</w:t>
      </w:r>
      <w:r w:rsidR="00302AB8">
        <w:t>s,</w:t>
      </w:r>
      <w:r>
        <w:t xml:space="preserve"> and to assess the process.</w:t>
      </w:r>
    </w:p>
    <w:p w14:paraId="640C2F98" w14:textId="77777777" w:rsidR="00574799" w:rsidRDefault="00574799" w:rsidP="00574799"/>
    <w:tbl>
      <w:tblPr>
        <w:tblStyle w:val="TableGrid"/>
        <w:tblW w:w="0" w:type="auto"/>
        <w:tblLook w:val="04A0" w:firstRow="1" w:lastRow="0" w:firstColumn="1" w:lastColumn="0" w:noHBand="0" w:noVBand="1"/>
      </w:tblPr>
      <w:tblGrid>
        <w:gridCol w:w="5958"/>
        <w:gridCol w:w="3978"/>
      </w:tblGrid>
      <w:tr w:rsidR="00574799" w:rsidRPr="001E2C56" w14:paraId="640C2F9B" w14:textId="77777777" w:rsidTr="00F41BEC">
        <w:trPr>
          <w:tblHeader/>
        </w:trPr>
        <w:tc>
          <w:tcPr>
            <w:tcW w:w="5958" w:type="dxa"/>
            <w:shd w:val="clear" w:color="auto" w:fill="DBE5F1" w:themeFill="accent1" w:themeFillTint="33"/>
          </w:tcPr>
          <w:p w14:paraId="640C2F99" w14:textId="77777777" w:rsidR="00574799" w:rsidRPr="001E2C56" w:rsidRDefault="00574799" w:rsidP="00574799">
            <w:pPr>
              <w:jc w:val="center"/>
              <w:rPr>
                <w:b/>
                <w:sz w:val="20"/>
              </w:rPr>
            </w:pPr>
            <w:r w:rsidRPr="001E2C56">
              <w:rPr>
                <w:b/>
                <w:sz w:val="20"/>
              </w:rPr>
              <w:t xml:space="preserve">Assessment Questions </w:t>
            </w:r>
          </w:p>
        </w:tc>
        <w:tc>
          <w:tcPr>
            <w:tcW w:w="3978" w:type="dxa"/>
            <w:shd w:val="clear" w:color="auto" w:fill="DBE5F1" w:themeFill="accent1" w:themeFillTint="33"/>
          </w:tcPr>
          <w:p w14:paraId="640C2F9A" w14:textId="2AD089FB" w:rsidR="00574799" w:rsidRPr="001E2C56" w:rsidRDefault="002C2863" w:rsidP="00F35D44">
            <w:pPr>
              <w:jc w:val="center"/>
              <w:rPr>
                <w:b/>
                <w:sz w:val="20"/>
              </w:rPr>
            </w:pPr>
            <w:r>
              <w:rPr>
                <w:b/>
                <w:sz w:val="20"/>
              </w:rPr>
              <w:t xml:space="preserve">Potential </w:t>
            </w:r>
            <w:r w:rsidR="00574799" w:rsidRPr="001E2C56">
              <w:rPr>
                <w:b/>
                <w:sz w:val="20"/>
              </w:rPr>
              <w:t>Proposed Metrics</w:t>
            </w:r>
          </w:p>
        </w:tc>
      </w:tr>
      <w:tr w:rsidR="00574799" w:rsidRPr="001E2C56" w14:paraId="640C2FAE" w14:textId="77777777" w:rsidTr="00F41BEC">
        <w:tc>
          <w:tcPr>
            <w:tcW w:w="5958" w:type="dxa"/>
          </w:tcPr>
          <w:p w14:paraId="640C2F9C" w14:textId="77777777" w:rsidR="00574799" w:rsidRPr="001E2C56" w:rsidRDefault="00407D09" w:rsidP="008A799A">
            <w:pPr>
              <w:pStyle w:val="ListParagraph"/>
              <w:numPr>
                <w:ilvl w:val="0"/>
                <w:numId w:val="16"/>
              </w:numPr>
              <w:ind w:left="360"/>
              <w:rPr>
                <w:sz w:val="20"/>
              </w:rPr>
            </w:pPr>
            <w:r>
              <w:rPr>
                <w:b/>
                <w:i/>
                <w:color w:val="0070C0"/>
                <w:sz w:val="20"/>
              </w:rPr>
              <w:t>Funding</w:t>
            </w:r>
            <w:r w:rsidRPr="001E2C56">
              <w:rPr>
                <w:b/>
                <w:i/>
                <w:color w:val="0070C0"/>
                <w:sz w:val="20"/>
              </w:rPr>
              <w:t xml:space="preserve"> </w:t>
            </w:r>
            <w:r w:rsidR="00574799" w:rsidRPr="001E2C56">
              <w:rPr>
                <w:b/>
                <w:i/>
                <w:color w:val="0070C0"/>
                <w:sz w:val="20"/>
              </w:rPr>
              <w:t>Level</w:t>
            </w:r>
            <w:r w:rsidR="00574799" w:rsidRPr="001E2C56">
              <w:rPr>
                <w:b/>
                <w:i/>
                <w:sz w:val="20"/>
              </w:rPr>
              <w:t>:</w:t>
            </w:r>
            <w:r w:rsidR="00574799" w:rsidRPr="001E2C56">
              <w:rPr>
                <w:sz w:val="20"/>
              </w:rPr>
              <w:t xml:space="preserve">  </w:t>
            </w:r>
          </w:p>
          <w:p w14:paraId="640C2F9D" w14:textId="77777777" w:rsidR="00574799" w:rsidRPr="001E2C56" w:rsidRDefault="00574799" w:rsidP="008A799A">
            <w:pPr>
              <w:pStyle w:val="ListParagraph"/>
              <w:ind w:left="360"/>
              <w:rPr>
                <w:sz w:val="20"/>
              </w:rPr>
            </w:pPr>
          </w:p>
          <w:p w14:paraId="640C2F9E" w14:textId="40EC755C" w:rsidR="00574799" w:rsidRDefault="00574799" w:rsidP="008A799A">
            <w:pPr>
              <w:pStyle w:val="ListParagraph"/>
              <w:numPr>
                <w:ilvl w:val="1"/>
                <w:numId w:val="16"/>
              </w:numPr>
              <w:ind w:left="720"/>
              <w:rPr>
                <w:sz w:val="20"/>
              </w:rPr>
            </w:pPr>
            <w:r w:rsidRPr="001E2C56">
              <w:rPr>
                <w:sz w:val="20"/>
              </w:rPr>
              <w:t xml:space="preserve">Are participating agencies complying with the </w:t>
            </w:r>
            <w:r w:rsidR="00407D09">
              <w:rPr>
                <w:sz w:val="20"/>
              </w:rPr>
              <w:t>minimum</w:t>
            </w:r>
            <w:r w:rsidR="00407D09" w:rsidRPr="001E2C56">
              <w:rPr>
                <w:sz w:val="20"/>
              </w:rPr>
              <w:t xml:space="preserve"> </w:t>
            </w:r>
            <w:r w:rsidRPr="001E2C56">
              <w:rPr>
                <w:sz w:val="20"/>
              </w:rPr>
              <w:t xml:space="preserve">level of funding </w:t>
            </w:r>
            <w:r w:rsidR="00566561">
              <w:rPr>
                <w:sz w:val="20"/>
              </w:rPr>
              <w:t xml:space="preserve">for </w:t>
            </w:r>
            <w:r w:rsidRPr="001E2C56">
              <w:rPr>
                <w:sz w:val="20"/>
              </w:rPr>
              <w:t>the SBIR program? (</w:t>
            </w:r>
            <w:r w:rsidR="007F279E" w:rsidRPr="001E2C56">
              <w:rPr>
                <w:sz w:val="20"/>
              </w:rPr>
              <w:t xml:space="preserve">SBIR is </w:t>
            </w:r>
            <w:r w:rsidR="00D62E81">
              <w:rPr>
                <w:sz w:val="20"/>
              </w:rPr>
              <w:t>2.6% in FY 2012</w:t>
            </w:r>
            <w:r w:rsidRPr="001E2C56">
              <w:rPr>
                <w:sz w:val="20"/>
              </w:rPr>
              <w:t xml:space="preserve"> and increasing by .1% each year through FY 2017</w:t>
            </w:r>
            <w:r w:rsidR="007F279E" w:rsidRPr="001E2C56">
              <w:rPr>
                <w:sz w:val="20"/>
              </w:rPr>
              <w:t xml:space="preserve">. STTR is </w:t>
            </w:r>
            <w:r w:rsidR="00715501">
              <w:rPr>
                <w:sz w:val="20"/>
              </w:rPr>
              <w:t>0</w:t>
            </w:r>
            <w:r w:rsidR="007F279E" w:rsidRPr="001E2C56">
              <w:rPr>
                <w:rFonts w:asciiTheme="minorHAnsi" w:hAnsiTheme="minorHAnsi" w:cstheme="minorHAnsi"/>
                <w:sz w:val="20"/>
              </w:rPr>
              <w:t xml:space="preserve">.35% </w:t>
            </w:r>
            <w:r w:rsidR="00106EA8" w:rsidRPr="001E2C56">
              <w:rPr>
                <w:rFonts w:asciiTheme="minorHAnsi" w:hAnsiTheme="minorHAnsi" w:cstheme="minorHAnsi"/>
                <w:sz w:val="20"/>
              </w:rPr>
              <w:t>for FYs</w:t>
            </w:r>
            <w:r w:rsidR="007F279E" w:rsidRPr="001E2C56">
              <w:rPr>
                <w:rFonts w:asciiTheme="minorHAnsi" w:hAnsiTheme="minorHAnsi" w:cstheme="minorHAnsi"/>
                <w:sz w:val="20"/>
              </w:rPr>
              <w:t xml:space="preserve"> 2012 and 2013, with continued increases through 2016.</w:t>
            </w:r>
            <w:r w:rsidRPr="001E2C56">
              <w:rPr>
                <w:sz w:val="20"/>
              </w:rPr>
              <w:t>)</w:t>
            </w:r>
          </w:p>
          <w:p w14:paraId="640C2F9F" w14:textId="77777777" w:rsidR="003E735E" w:rsidRDefault="003E735E" w:rsidP="008A799A">
            <w:pPr>
              <w:pStyle w:val="ListParagraph"/>
              <w:rPr>
                <w:sz w:val="20"/>
              </w:rPr>
            </w:pPr>
          </w:p>
          <w:p w14:paraId="640C2FA0" w14:textId="77777777" w:rsidR="003E735E" w:rsidRPr="001E2C56" w:rsidRDefault="003E735E" w:rsidP="008A799A">
            <w:pPr>
              <w:pStyle w:val="ListParagraph"/>
              <w:numPr>
                <w:ilvl w:val="1"/>
                <w:numId w:val="16"/>
              </w:numPr>
              <w:ind w:left="720"/>
              <w:rPr>
                <w:sz w:val="20"/>
              </w:rPr>
            </w:pPr>
            <w:r>
              <w:rPr>
                <w:sz w:val="20"/>
              </w:rPr>
              <w:t>To what extent are agencies not complying with statutory levels?</w:t>
            </w:r>
          </w:p>
          <w:p w14:paraId="640C2FA1" w14:textId="77777777" w:rsidR="00574799" w:rsidRPr="001E2C56" w:rsidRDefault="00574799" w:rsidP="008A799A">
            <w:pPr>
              <w:rPr>
                <w:sz w:val="20"/>
              </w:rPr>
            </w:pPr>
          </w:p>
          <w:p w14:paraId="640C2FA2" w14:textId="77777777" w:rsidR="00574799" w:rsidRPr="001E2C56" w:rsidRDefault="00574799" w:rsidP="008A799A">
            <w:pPr>
              <w:ind w:left="360"/>
              <w:rPr>
                <w:sz w:val="20"/>
              </w:rPr>
            </w:pPr>
          </w:p>
        </w:tc>
        <w:tc>
          <w:tcPr>
            <w:tcW w:w="3978" w:type="dxa"/>
          </w:tcPr>
          <w:p w14:paraId="640C2FA3" w14:textId="4A5F28FB" w:rsidR="00574799" w:rsidRPr="00566561" w:rsidRDefault="00566561" w:rsidP="008A799A">
            <w:pPr>
              <w:rPr>
                <w:sz w:val="20"/>
              </w:rPr>
            </w:pPr>
            <w:r>
              <w:rPr>
                <w:sz w:val="20"/>
              </w:rPr>
              <w:t>These should be reviewed on an annual and 3</w:t>
            </w:r>
            <w:r w:rsidR="00715501">
              <w:rPr>
                <w:sz w:val="20"/>
              </w:rPr>
              <w:t>-</w:t>
            </w:r>
            <w:r>
              <w:rPr>
                <w:sz w:val="20"/>
              </w:rPr>
              <w:t>year basis :</w:t>
            </w:r>
          </w:p>
          <w:p w14:paraId="640C2FA4" w14:textId="77777777" w:rsidR="00574799" w:rsidRPr="001E2C56" w:rsidRDefault="00574799" w:rsidP="008A799A">
            <w:pPr>
              <w:pStyle w:val="ListParagraph"/>
              <w:ind w:left="342"/>
              <w:rPr>
                <w:sz w:val="20"/>
              </w:rPr>
            </w:pPr>
          </w:p>
          <w:p w14:paraId="640C2FA5" w14:textId="6AE4AC73" w:rsidR="00574799" w:rsidRPr="001E2C56" w:rsidRDefault="00302AB8" w:rsidP="008A799A">
            <w:pPr>
              <w:pStyle w:val="ListParagraph"/>
              <w:numPr>
                <w:ilvl w:val="0"/>
                <w:numId w:val="13"/>
              </w:numPr>
              <w:ind w:left="342"/>
              <w:rPr>
                <w:sz w:val="20"/>
              </w:rPr>
            </w:pPr>
            <w:r>
              <w:rPr>
                <w:sz w:val="20"/>
              </w:rPr>
              <w:t xml:space="preserve">The </w:t>
            </w:r>
            <w:r w:rsidR="007F279E" w:rsidRPr="001E2C56">
              <w:rPr>
                <w:sz w:val="20"/>
              </w:rPr>
              <w:t xml:space="preserve">SBIR and STTR </w:t>
            </w:r>
            <w:r>
              <w:rPr>
                <w:sz w:val="20"/>
              </w:rPr>
              <w:t>s</w:t>
            </w:r>
            <w:r w:rsidR="00096111" w:rsidRPr="001E2C56">
              <w:rPr>
                <w:sz w:val="20"/>
              </w:rPr>
              <w:t xml:space="preserve">tatutory </w:t>
            </w:r>
            <w:r>
              <w:rPr>
                <w:sz w:val="20"/>
              </w:rPr>
              <w:t>m</w:t>
            </w:r>
            <w:r w:rsidR="00096111" w:rsidRPr="001E2C56">
              <w:rPr>
                <w:sz w:val="20"/>
              </w:rPr>
              <w:t xml:space="preserve">inimum </w:t>
            </w:r>
            <w:r>
              <w:rPr>
                <w:sz w:val="20"/>
              </w:rPr>
              <w:t xml:space="preserve">funding levels is determined by multiplying the statutorily prescribed rate by an agency’s extramural R/R&amp;D budget </w:t>
            </w:r>
          </w:p>
          <w:p w14:paraId="640C2FA6" w14:textId="77777777" w:rsidR="00574799" w:rsidRPr="001E2C56" w:rsidRDefault="00574799" w:rsidP="008A799A">
            <w:pPr>
              <w:pStyle w:val="ListParagraph"/>
              <w:ind w:left="342"/>
              <w:rPr>
                <w:sz w:val="20"/>
              </w:rPr>
            </w:pPr>
          </w:p>
          <w:p w14:paraId="640C2FA7" w14:textId="2EA39549" w:rsidR="00574799" w:rsidRDefault="007F279E" w:rsidP="008A799A">
            <w:pPr>
              <w:pStyle w:val="ListParagraph"/>
              <w:numPr>
                <w:ilvl w:val="0"/>
                <w:numId w:val="13"/>
              </w:numPr>
              <w:ind w:left="342"/>
              <w:rPr>
                <w:sz w:val="20"/>
              </w:rPr>
            </w:pPr>
            <w:r w:rsidRPr="001E2C56">
              <w:rPr>
                <w:sz w:val="20"/>
              </w:rPr>
              <w:t xml:space="preserve">Amount of awards </w:t>
            </w:r>
            <w:r w:rsidR="00302AB8">
              <w:rPr>
                <w:sz w:val="20"/>
              </w:rPr>
              <w:t>issued by each</w:t>
            </w:r>
            <w:r w:rsidR="00523E7E">
              <w:rPr>
                <w:sz w:val="20"/>
              </w:rPr>
              <w:t xml:space="preserve"> </w:t>
            </w:r>
            <w:r w:rsidRPr="001E2C56">
              <w:rPr>
                <w:sz w:val="20"/>
              </w:rPr>
              <w:t>agency</w:t>
            </w:r>
            <w:r w:rsidR="00302AB8">
              <w:rPr>
                <w:sz w:val="20"/>
              </w:rPr>
              <w:t xml:space="preserve"> during the previously completed fiscal year</w:t>
            </w:r>
          </w:p>
          <w:p w14:paraId="640C2FA8" w14:textId="77777777" w:rsidR="00BD666E" w:rsidRPr="00BD666E" w:rsidRDefault="00BD666E" w:rsidP="008A799A">
            <w:pPr>
              <w:pStyle w:val="ListParagraph"/>
              <w:rPr>
                <w:sz w:val="20"/>
              </w:rPr>
            </w:pPr>
          </w:p>
          <w:p w14:paraId="640C2FA9" w14:textId="77777777" w:rsidR="00BD666E" w:rsidRDefault="00BD666E" w:rsidP="008A799A">
            <w:pPr>
              <w:pStyle w:val="ListParagraph"/>
              <w:numPr>
                <w:ilvl w:val="0"/>
                <w:numId w:val="13"/>
              </w:numPr>
              <w:ind w:left="342"/>
              <w:rPr>
                <w:sz w:val="20"/>
              </w:rPr>
            </w:pPr>
            <w:r>
              <w:rPr>
                <w:sz w:val="20"/>
              </w:rPr>
              <w:t>Amount of extramural budget</w:t>
            </w:r>
          </w:p>
          <w:p w14:paraId="640C2FAA" w14:textId="77777777" w:rsidR="00BD666E" w:rsidRPr="00BD666E" w:rsidRDefault="00BD666E" w:rsidP="008A799A">
            <w:pPr>
              <w:pStyle w:val="ListParagraph"/>
              <w:rPr>
                <w:sz w:val="20"/>
              </w:rPr>
            </w:pPr>
          </w:p>
          <w:p w14:paraId="640C2FAB" w14:textId="77777777" w:rsidR="00BD666E" w:rsidRPr="001E2C56" w:rsidRDefault="00BD666E" w:rsidP="008A799A">
            <w:pPr>
              <w:pStyle w:val="ListParagraph"/>
              <w:numPr>
                <w:ilvl w:val="0"/>
                <w:numId w:val="13"/>
              </w:numPr>
              <w:ind w:left="342"/>
              <w:rPr>
                <w:sz w:val="20"/>
              </w:rPr>
            </w:pPr>
            <w:r>
              <w:rPr>
                <w:sz w:val="20"/>
              </w:rPr>
              <w:t>SBIR and STTR Award Amounts as percentage of extramural budget</w:t>
            </w:r>
          </w:p>
          <w:p w14:paraId="640C2FAC" w14:textId="77777777" w:rsidR="007F279E" w:rsidRPr="001E2C56" w:rsidRDefault="007F279E" w:rsidP="008A799A">
            <w:pPr>
              <w:pStyle w:val="ListParagraph"/>
              <w:rPr>
                <w:sz w:val="20"/>
              </w:rPr>
            </w:pPr>
          </w:p>
          <w:p w14:paraId="640C2FAD" w14:textId="77777777" w:rsidR="00574799" w:rsidRPr="003E735E" w:rsidRDefault="007F279E" w:rsidP="008A799A">
            <w:pPr>
              <w:pStyle w:val="ListParagraph"/>
              <w:numPr>
                <w:ilvl w:val="0"/>
                <w:numId w:val="13"/>
              </w:numPr>
              <w:ind w:left="342"/>
              <w:rPr>
                <w:sz w:val="20"/>
              </w:rPr>
            </w:pPr>
            <w:r w:rsidRPr="001E2C56">
              <w:rPr>
                <w:sz w:val="20"/>
              </w:rPr>
              <w:t>Percentage above or below statutory minimum</w:t>
            </w:r>
            <w:r w:rsidR="00BD666E">
              <w:rPr>
                <w:sz w:val="20"/>
              </w:rPr>
              <w:t xml:space="preserve"> </w:t>
            </w:r>
          </w:p>
        </w:tc>
      </w:tr>
      <w:tr w:rsidR="00574799" w:rsidRPr="001E2C56" w14:paraId="640C2FC8" w14:textId="77777777" w:rsidTr="00F41BEC">
        <w:tc>
          <w:tcPr>
            <w:tcW w:w="5958" w:type="dxa"/>
          </w:tcPr>
          <w:p w14:paraId="640C2FAF" w14:textId="77777777" w:rsidR="00574799" w:rsidRPr="001E2C56" w:rsidRDefault="00522A1D" w:rsidP="008A799A">
            <w:pPr>
              <w:pStyle w:val="ListParagraph"/>
              <w:numPr>
                <w:ilvl w:val="0"/>
                <w:numId w:val="16"/>
              </w:numPr>
              <w:ind w:left="360"/>
              <w:rPr>
                <w:sz w:val="20"/>
              </w:rPr>
            </w:pPr>
            <w:r>
              <w:rPr>
                <w:b/>
                <w:i/>
                <w:color w:val="0070C0"/>
                <w:sz w:val="20"/>
              </w:rPr>
              <w:t>Processing Times</w:t>
            </w:r>
            <w:r w:rsidR="00574799" w:rsidRPr="001E2C56">
              <w:rPr>
                <w:b/>
                <w:i/>
                <w:sz w:val="20"/>
              </w:rPr>
              <w:t>:</w:t>
            </w:r>
            <w:r w:rsidR="00574799" w:rsidRPr="001E2C56">
              <w:rPr>
                <w:sz w:val="20"/>
              </w:rPr>
              <w:t xml:space="preserve"> </w:t>
            </w:r>
          </w:p>
          <w:p w14:paraId="640C2FB0" w14:textId="77777777" w:rsidR="00574799" w:rsidRPr="001E2C56" w:rsidRDefault="00574799" w:rsidP="008A799A">
            <w:pPr>
              <w:pStyle w:val="ListParagraph"/>
              <w:ind w:left="360"/>
              <w:rPr>
                <w:sz w:val="20"/>
              </w:rPr>
            </w:pPr>
            <w:r w:rsidRPr="001E2C56">
              <w:rPr>
                <w:sz w:val="20"/>
              </w:rPr>
              <w:t xml:space="preserve"> </w:t>
            </w:r>
          </w:p>
          <w:p w14:paraId="640C2FB1" w14:textId="77777777" w:rsidR="00574799" w:rsidRDefault="00BD666E" w:rsidP="008A799A">
            <w:pPr>
              <w:pStyle w:val="ListParagraph"/>
              <w:numPr>
                <w:ilvl w:val="1"/>
                <w:numId w:val="16"/>
              </w:numPr>
              <w:ind w:left="720"/>
              <w:rPr>
                <w:sz w:val="20"/>
              </w:rPr>
            </w:pPr>
            <w:r>
              <w:rPr>
                <w:sz w:val="20"/>
              </w:rPr>
              <w:t xml:space="preserve">How long does it typically take to </w:t>
            </w:r>
            <w:r w:rsidR="00D62E81">
              <w:rPr>
                <w:sz w:val="20"/>
              </w:rPr>
              <w:t>notify applicants i</w:t>
            </w:r>
            <w:r w:rsidR="009114EE">
              <w:rPr>
                <w:sz w:val="20"/>
              </w:rPr>
              <w:t>n</w:t>
            </w:r>
            <w:r>
              <w:rPr>
                <w:sz w:val="20"/>
              </w:rPr>
              <w:t xml:space="preserve"> a Phase I </w:t>
            </w:r>
            <w:r w:rsidR="009114EE">
              <w:rPr>
                <w:sz w:val="20"/>
              </w:rPr>
              <w:t>solicitation</w:t>
            </w:r>
            <w:r>
              <w:rPr>
                <w:sz w:val="20"/>
              </w:rPr>
              <w:t>?</w:t>
            </w:r>
            <w:r w:rsidR="009114EE">
              <w:rPr>
                <w:sz w:val="20"/>
              </w:rPr>
              <w:t xml:space="preserve"> Phase II solicitation?</w:t>
            </w:r>
          </w:p>
          <w:p w14:paraId="640C2FB2" w14:textId="77777777" w:rsidR="009114EE" w:rsidRDefault="009114EE" w:rsidP="008A799A">
            <w:pPr>
              <w:pStyle w:val="ListParagraph"/>
              <w:rPr>
                <w:sz w:val="20"/>
              </w:rPr>
            </w:pPr>
          </w:p>
          <w:p w14:paraId="640C2FB3" w14:textId="77777777" w:rsidR="009114EE" w:rsidRPr="001E2C56" w:rsidRDefault="009114EE" w:rsidP="008A799A">
            <w:pPr>
              <w:pStyle w:val="ListParagraph"/>
              <w:numPr>
                <w:ilvl w:val="1"/>
                <w:numId w:val="16"/>
              </w:numPr>
              <w:ind w:left="720"/>
              <w:rPr>
                <w:sz w:val="20"/>
              </w:rPr>
            </w:pPr>
            <w:r>
              <w:rPr>
                <w:sz w:val="20"/>
              </w:rPr>
              <w:t>How long does it take to award a Phase I award?  Phase II award?</w:t>
            </w:r>
          </w:p>
          <w:p w14:paraId="640C2FB4" w14:textId="77777777" w:rsidR="00574799" w:rsidRPr="001E2C56" w:rsidRDefault="00574799" w:rsidP="008A799A">
            <w:pPr>
              <w:pStyle w:val="ListParagraph"/>
              <w:rPr>
                <w:sz w:val="20"/>
              </w:rPr>
            </w:pPr>
          </w:p>
          <w:p w14:paraId="640C2FB5" w14:textId="0609AED9" w:rsidR="009114EE" w:rsidRDefault="009114EE" w:rsidP="008A799A">
            <w:pPr>
              <w:pStyle w:val="ListParagraph"/>
              <w:numPr>
                <w:ilvl w:val="1"/>
                <w:numId w:val="16"/>
              </w:numPr>
              <w:ind w:left="720"/>
              <w:rPr>
                <w:sz w:val="20"/>
              </w:rPr>
            </w:pPr>
            <w:r>
              <w:rPr>
                <w:sz w:val="20"/>
              </w:rPr>
              <w:t>Are</w:t>
            </w:r>
            <w:r w:rsidR="00BD666E">
              <w:rPr>
                <w:sz w:val="20"/>
              </w:rPr>
              <w:t xml:space="preserve"> </w:t>
            </w:r>
            <w:r w:rsidR="00BA11A6">
              <w:rPr>
                <w:sz w:val="20"/>
              </w:rPr>
              <w:t>applicants notified</w:t>
            </w:r>
            <w:r w:rsidR="00574E2C">
              <w:rPr>
                <w:sz w:val="20"/>
              </w:rPr>
              <w:t xml:space="preserve"> whether they were selected for an award</w:t>
            </w:r>
            <w:r w:rsidR="00BA11A6">
              <w:rPr>
                <w:sz w:val="20"/>
              </w:rPr>
              <w:t xml:space="preserve"> withi</w:t>
            </w:r>
            <w:r>
              <w:rPr>
                <w:sz w:val="20"/>
              </w:rPr>
              <w:t xml:space="preserve">n the </w:t>
            </w:r>
            <w:r w:rsidR="00106EA8">
              <w:rPr>
                <w:sz w:val="20"/>
              </w:rPr>
              <w:t>statutor</w:t>
            </w:r>
            <w:r w:rsidR="00126C5C">
              <w:rPr>
                <w:sz w:val="20"/>
              </w:rPr>
              <w:t>il</w:t>
            </w:r>
            <w:r w:rsidR="00106EA8">
              <w:rPr>
                <w:sz w:val="20"/>
              </w:rPr>
              <w:t>y require</w:t>
            </w:r>
            <w:r w:rsidR="00126C5C">
              <w:rPr>
                <w:sz w:val="20"/>
              </w:rPr>
              <w:t>d time period</w:t>
            </w:r>
            <w:r>
              <w:rPr>
                <w:sz w:val="20"/>
              </w:rPr>
              <w:t xml:space="preserve">?  </w:t>
            </w:r>
          </w:p>
          <w:p w14:paraId="640C2FB6" w14:textId="77777777" w:rsidR="009114EE" w:rsidRDefault="00BA11A6" w:rsidP="008A799A">
            <w:pPr>
              <w:pStyle w:val="ListParagraph"/>
              <w:numPr>
                <w:ilvl w:val="2"/>
                <w:numId w:val="16"/>
              </w:numPr>
              <w:ind w:left="1080"/>
              <w:rPr>
                <w:sz w:val="20"/>
              </w:rPr>
            </w:pPr>
            <w:r>
              <w:rPr>
                <w:sz w:val="20"/>
              </w:rPr>
              <w:t>National Institutes of Heal</w:t>
            </w:r>
            <w:r w:rsidR="009114EE">
              <w:rPr>
                <w:sz w:val="20"/>
              </w:rPr>
              <w:t>th (NIH)</w:t>
            </w:r>
            <w:r>
              <w:rPr>
                <w:sz w:val="20"/>
              </w:rPr>
              <w:t xml:space="preserve"> or the National Science Foundation</w:t>
            </w:r>
            <w:r w:rsidR="009114EE">
              <w:rPr>
                <w:sz w:val="20"/>
              </w:rPr>
              <w:t xml:space="preserve"> (NSF)</w:t>
            </w:r>
            <w:r>
              <w:rPr>
                <w:sz w:val="20"/>
              </w:rPr>
              <w:t xml:space="preserve">:  </w:t>
            </w:r>
            <w:r w:rsidR="009114EE">
              <w:rPr>
                <w:sz w:val="20"/>
              </w:rPr>
              <w:t xml:space="preserve">1 year; </w:t>
            </w:r>
          </w:p>
          <w:p w14:paraId="640C2FB7" w14:textId="77777777" w:rsidR="00574799" w:rsidRPr="001E2C56" w:rsidRDefault="009114EE" w:rsidP="008A799A">
            <w:pPr>
              <w:pStyle w:val="ListParagraph"/>
              <w:numPr>
                <w:ilvl w:val="2"/>
                <w:numId w:val="16"/>
              </w:numPr>
              <w:ind w:left="1080"/>
              <w:rPr>
                <w:sz w:val="20"/>
              </w:rPr>
            </w:pPr>
            <w:r>
              <w:rPr>
                <w:sz w:val="20"/>
              </w:rPr>
              <w:t>All other agencies:  90 days after solicitation closes</w:t>
            </w:r>
            <w:r w:rsidR="00BA11A6">
              <w:rPr>
                <w:sz w:val="20"/>
              </w:rPr>
              <w:t xml:space="preserve"> </w:t>
            </w:r>
            <w:r w:rsidR="00BD666E">
              <w:rPr>
                <w:sz w:val="20"/>
              </w:rPr>
              <w:t xml:space="preserve"> </w:t>
            </w:r>
          </w:p>
          <w:p w14:paraId="640C2FB8" w14:textId="77777777" w:rsidR="00574799" w:rsidRPr="001E2C56" w:rsidRDefault="00574799" w:rsidP="008A799A">
            <w:pPr>
              <w:pStyle w:val="ListParagraph"/>
              <w:rPr>
                <w:sz w:val="20"/>
              </w:rPr>
            </w:pPr>
          </w:p>
          <w:p w14:paraId="640C2FB9" w14:textId="3C8577F9" w:rsidR="00574799" w:rsidRDefault="009114EE" w:rsidP="008A799A">
            <w:pPr>
              <w:pStyle w:val="ListParagraph"/>
              <w:numPr>
                <w:ilvl w:val="1"/>
                <w:numId w:val="16"/>
              </w:numPr>
              <w:ind w:left="720"/>
              <w:rPr>
                <w:sz w:val="20"/>
              </w:rPr>
            </w:pPr>
            <w:r>
              <w:rPr>
                <w:sz w:val="20"/>
              </w:rPr>
              <w:t>Are awards issued within</w:t>
            </w:r>
            <w:r w:rsidR="00574E2C">
              <w:rPr>
                <w:sz w:val="20"/>
              </w:rPr>
              <w:t xml:space="preserve"> the time period advised </w:t>
            </w:r>
            <w:r w:rsidR="00126C5C">
              <w:rPr>
                <w:sz w:val="20"/>
              </w:rPr>
              <w:t>by the</w:t>
            </w:r>
            <w:r>
              <w:rPr>
                <w:sz w:val="20"/>
              </w:rPr>
              <w:t xml:space="preserve"> Policy Directive</w:t>
            </w:r>
            <w:r w:rsidR="00126C5C">
              <w:rPr>
                <w:sz w:val="20"/>
              </w:rPr>
              <w:t>s</w:t>
            </w:r>
            <w:r>
              <w:rPr>
                <w:sz w:val="20"/>
              </w:rPr>
              <w:t xml:space="preserve">? </w:t>
            </w:r>
          </w:p>
          <w:p w14:paraId="640C2FBA" w14:textId="77777777" w:rsidR="009114EE" w:rsidRDefault="009114EE" w:rsidP="008A799A">
            <w:pPr>
              <w:pStyle w:val="ListParagraph"/>
              <w:numPr>
                <w:ilvl w:val="2"/>
                <w:numId w:val="16"/>
              </w:numPr>
              <w:ind w:left="1080"/>
              <w:rPr>
                <w:sz w:val="20"/>
              </w:rPr>
            </w:pPr>
            <w:r>
              <w:rPr>
                <w:sz w:val="20"/>
              </w:rPr>
              <w:t>NIH or NSF:  15 months</w:t>
            </w:r>
          </w:p>
          <w:p w14:paraId="640C2FBB" w14:textId="77777777" w:rsidR="009114EE" w:rsidRPr="001E2C56" w:rsidRDefault="009114EE" w:rsidP="008A799A">
            <w:pPr>
              <w:pStyle w:val="ListParagraph"/>
              <w:numPr>
                <w:ilvl w:val="2"/>
                <w:numId w:val="16"/>
              </w:numPr>
              <w:ind w:left="1080"/>
              <w:rPr>
                <w:sz w:val="20"/>
              </w:rPr>
            </w:pPr>
            <w:r>
              <w:rPr>
                <w:sz w:val="20"/>
              </w:rPr>
              <w:t>All other agencies:  180 days</w:t>
            </w:r>
          </w:p>
          <w:p w14:paraId="640C2FBC" w14:textId="77777777" w:rsidR="00574799" w:rsidRPr="003E735E" w:rsidRDefault="00574799" w:rsidP="008A799A">
            <w:pPr>
              <w:rPr>
                <w:sz w:val="6"/>
              </w:rPr>
            </w:pPr>
          </w:p>
        </w:tc>
        <w:tc>
          <w:tcPr>
            <w:tcW w:w="3978" w:type="dxa"/>
          </w:tcPr>
          <w:p w14:paraId="640C2FBD" w14:textId="77777777" w:rsidR="00574799" w:rsidRPr="001E2C56" w:rsidRDefault="00574799" w:rsidP="008A799A">
            <w:pPr>
              <w:pStyle w:val="ListParagraph"/>
              <w:ind w:left="342"/>
              <w:rPr>
                <w:sz w:val="20"/>
              </w:rPr>
            </w:pPr>
          </w:p>
          <w:p w14:paraId="640C2FBE" w14:textId="77777777" w:rsidR="00574799" w:rsidRPr="001E2C56" w:rsidRDefault="00574799" w:rsidP="008A799A">
            <w:pPr>
              <w:pStyle w:val="ListParagraph"/>
              <w:ind w:left="342"/>
              <w:rPr>
                <w:sz w:val="20"/>
              </w:rPr>
            </w:pPr>
          </w:p>
          <w:p w14:paraId="640C2FBF" w14:textId="1D4A31C3" w:rsidR="00574799" w:rsidRDefault="009114EE" w:rsidP="008A799A">
            <w:pPr>
              <w:pStyle w:val="ListParagraph"/>
              <w:numPr>
                <w:ilvl w:val="0"/>
                <w:numId w:val="13"/>
              </w:numPr>
              <w:ind w:left="342"/>
              <w:rPr>
                <w:sz w:val="20"/>
              </w:rPr>
            </w:pPr>
            <w:r>
              <w:rPr>
                <w:sz w:val="20"/>
              </w:rPr>
              <w:t xml:space="preserve">Average  </w:t>
            </w:r>
            <w:r w:rsidR="002C2863">
              <w:rPr>
                <w:sz w:val="20"/>
              </w:rPr>
              <w:t>and/</w:t>
            </w:r>
            <w:r w:rsidR="00566561">
              <w:rPr>
                <w:sz w:val="20"/>
              </w:rPr>
              <w:t xml:space="preserve">or median </w:t>
            </w:r>
            <w:r>
              <w:rPr>
                <w:sz w:val="20"/>
              </w:rPr>
              <w:t>days to notify each phase</w:t>
            </w:r>
          </w:p>
          <w:p w14:paraId="640C2FC0" w14:textId="77777777" w:rsidR="009114EE" w:rsidRDefault="009114EE" w:rsidP="008A799A">
            <w:pPr>
              <w:pStyle w:val="ListParagraph"/>
              <w:ind w:left="342"/>
              <w:rPr>
                <w:sz w:val="20"/>
              </w:rPr>
            </w:pPr>
          </w:p>
          <w:p w14:paraId="640C2FC1" w14:textId="77777777" w:rsidR="009114EE" w:rsidRPr="001E2C56" w:rsidRDefault="009114EE" w:rsidP="008A799A">
            <w:pPr>
              <w:pStyle w:val="ListParagraph"/>
              <w:numPr>
                <w:ilvl w:val="0"/>
                <w:numId w:val="13"/>
              </w:numPr>
              <w:ind w:left="342"/>
              <w:rPr>
                <w:sz w:val="20"/>
              </w:rPr>
            </w:pPr>
            <w:r>
              <w:rPr>
                <w:sz w:val="20"/>
              </w:rPr>
              <w:t xml:space="preserve">Average </w:t>
            </w:r>
            <w:r w:rsidR="00566561">
              <w:rPr>
                <w:sz w:val="20"/>
              </w:rPr>
              <w:t xml:space="preserve">or median </w:t>
            </w:r>
            <w:r>
              <w:rPr>
                <w:sz w:val="20"/>
              </w:rPr>
              <w:t>days to award each phase</w:t>
            </w:r>
          </w:p>
          <w:p w14:paraId="640C2FC2" w14:textId="77777777" w:rsidR="00574799" w:rsidRPr="001E2C56" w:rsidRDefault="00574799" w:rsidP="008A799A">
            <w:pPr>
              <w:pStyle w:val="ListParagraph"/>
              <w:ind w:left="342"/>
              <w:rPr>
                <w:sz w:val="20"/>
              </w:rPr>
            </w:pPr>
          </w:p>
          <w:p w14:paraId="640C2FC3" w14:textId="1E94139D" w:rsidR="00574799" w:rsidRDefault="009114EE" w:rsidP="008A799A">
            <w:pPr>
              <w:pStyle w:val="ListParagraph"/>
              <w:numPr>
                <w:ilvl w:val="0"/>
                <w:numId w:val="13"/>
              </w:numPr>
              <w:ind w:left="342"/>
              <w:rPr>
                <w:sz w:val="20"/>
              </w:rPr>
            </w:pPr>
            <w:r>
              <w:rPr>
                <w:sz w:val="20"/>
              </w:rPr>
              <w:t xml:space="preserve">Percentage of awards meeting </w:t>
            </w:r>
            <w:r w:rsidR="00574E2C">
              <w:rPr>
                <w:sz w:val="20"/>
              </w:rPr>
              <w:t>the statutory</w:t>
            </w:r>
            <w:r w:rsidR="00126C5C">
              <w:rPr>
                <w:sz w:val="20"/>
              </w:rPr>
              <w:t xml:space="preserve"> timeline</w:t>
            </w:r>
            <w:r>
              <w:rPr>
                <w:sz w:val="20"/>
              </w:rPr>
              <w:t xml:space="preserve"> requirement</w:t>
            </w:r>
            <w:r w:rsidR="00574E2C">
              <w:rPr>
                <w:sz w:val="20"/>
              </w:rPr>
              <w:t xml:space="preserve"> for notifica</w:t>
            </w:r>
            <w:r w:rsidR="008A799A">
              <w:rPr>
                <w:sz w:val="20"/>
              </w:rPr>
              <w:t>tion of selection as an awardee</w:t>
            </w:r>
          </w:p>
          <w:p w14:paraId="640C2FC4" w14:textId="77777777" w:rsidR="009114EE" w:rsidRPr="009114EE" w:rsidRDefault="009114EE" w:rsidP="008A799A">
            <w:pPr>
              <w:rPr>
                <w:sz w:val="20"/>
              </w:rPr>
            </w:pPr>
          </w:p>
          <w:p w14:paraId="640C2FC5" w14:textId="4674D7CC" w:rsidR="00574799" w:rsidRPr="001E2C56" w:rsidRDefault="009114EE" w:rsidP="008A799A">
            <w:pPr>
              <w:pStyle w:val="ListParagraph"/>
              <w:numPr>
                <w:ilvl w:val="0"/>
                <w:numId w:val="13"/>
              </w:numPr>
              <w:ind w:left="342"/>
              <w:rPr>
                <w:sz w:val="20"/>
              </w:rPr>
            </w:pPr>
            <w:r>
              <w:rPr>
                <w:sz w:val="20"/>
              </w:rPr>
              <w:t xml:space="preserve">Percentage of awards meeting </w:t>
            </w:r>
            <w:r w:rsidR="00574E2C">
              <w:rPr>
                <w:sz w:val="20"/>
              </w:rPr>
              <w:t xml:space="preserve">the </w:t>
            </w:r>
            <w:r>
              <w:rPr>
                <w:sz w:val="20"/>
              </w:rPr>
              <w:t>Policy Directive</w:t>
            </w:r>
            <w:r w:rsidR="00574E2C">
              <w:rPr>
                <w:sz w:val="20"/>
              </w:rPr>
              <w:t>s’ timeline</w:t>
            </w:r>
            <w:r>
              <w:rPr>
                <w:sz w:val="20"/>
              </w:rPr>
              <w:t xml:space="preserve"> </w:t>
            </w:r>
            <w:r w:rsidR="00574E2C">
              <w:rPr>
                <w:sz w:val="20"/>
              </w:rPr>
              <w:t>g</w:t>
            </w:r>
            <w:r>
              <w:rPr>
                <w:sz w:val="20"/>
              </w:rPr>
              <w:t>uidance</w:t>
            </w:r>
            <w:r w:rsidR="00574E2C">
              <w:rPr>
                <w:sz w:val="20"/>
              </w:rPr>
              <w:t xml:space="preserve"> for issuance of awards</w:t>
            </w:r>
          </w:p>
          <w:p w14:paraId="640C2FC6" w14:textId="77777777" w:rsidR="00574799" w:rsidRPr="001E2C56" w:rsidRDefault="00574799" w:rsidP="008A799A">
            <w:pPr>
              <w:rPr>
                <w:sz w:val="20"/>
              </w:rPr>
            </w:pPr>
          </w:p>
          <w:p w14:paraId="640C2FC7" w14:textId="77777777" w:rsidR="00574799" w:rsidRPr="001E2C56" w:rsidRDefault="00574799" w:rsidP="008A799A">
            <w:pPr>
              <w:ind w:left="-18"/>
              <w:rPr>
                <w:sz w:val="20"/>
              </w:rPr>
            </w:pPr>
          </w:p>
        </w:tc>
      </w:tr>
      <w:tr w:rsidR="00574799" w:rsidRPr="001E2C56" w14:paraId="640C2FD5" w14:textId="77777777" w:rsidTr="00F41BEC">
        <w:tc>
          <w:tcPr>
            <w:tcW w:w="5958" w:type="dxa"/>
          </w:tcPr>
          <w:p w14:paraId="640C2FC9" w14:textId="77777777" w:rsidR="00574799" w:rsidRPr="001E2C56" w:rsidRDefault="00CD5F29" w:rsidP="008A799A">
            <w:pPr>
              <w:pStyle w:val="ListParagraph"/>
              <w:numPr>
                <w:ilvl w:val="0"/>
                <w:numId w:val="16"/>
              </w:numPr>
              <w:ind w:left="360"/>
              <w:rPr>
                <w:sz w:val="20"/>
              </w:rPr>
            </w:pPr>
            <w:r>
              <w:rPr>
                <w:b/>
                <w:i/>
                <w:color w:val="0070C0"/>
                <w:sz w:val="20"/>
              </w:rPr>
              <w:t>Data Collection</w:t>
            </w:r>
            <w:r w:rsidR="00574799" w:rsidRPr="001E2C56">
              <w:rPr>
                <w:b/>
                <w:i/>
                <w:sz w:val="20"/>
              </w:rPr>
              <w:t>:</w:t>
            </w:r>
            <w:r w:rsidR="00574799" w:rsidRPr="001E2C56">
              <w:rPr>
                <w:sz w:val="20"/>
              </w:rPr>
              <w:t xml:space="preserve"> </w:t>
            </w:r>
            <w:r w:rsidR="003F27E4">
              <w:rPr>
                <w:sz w:val="20"/>
              </w:rPr>
              <w:t xml:space="preserve">  </w:t>
            </w:r>
          </w:p>
          <w:p w14:paraId="640C2FCA" w14:textId="77777777" w:rsidR="00574799" w:rsidRPr="001E2C56" w:rsidRDefault="00574799" w:rsidP="008A799A">
            <w:pPr>
              <w:pStyle w:val="ListParagraph"/>
              <w:ind w:left="360"/>
              <w:rPr>
                <w:sz w:val="20"/>
              </w:rPr>
            </w:pPr>
            <w:r w:rsidRPr="001E2C56">
              <w:rPr>
                <w:sz w:val="20"/>
              </w:rPr>
              <w:t xml:space="preserve"> </w:t>
            </w:r>
          </w:p>
          <w:p w14:paraId="640C2FCB" w14:textId="77777777" w:rsidR="00574799" w:rsidRDefault="00CD5F29" w:rsidP="008A799A">
            <w:pPr>
              <w:pStyle w:val="ListParagraph"/>
              <w:numPr>
                <w:ilvl w:val="1"/>
                <w:numId w:val="16"/>
              </w:numPr>
              <w:ind w:left="720"/>
              <w:rPr>
                <w:sz w:val="20"/>
              </w:rPr>
            </w:pPr>
            <w:r>
              <w:rPr>
                <w:sz w:val="20"/>
              </w:rPr>
              <w:t>Are agencies submitting their final reports on time?</w:t>
            </w:r>
          </w:p>
          <w:p w14:paraId="640C2FCC" w14:textId="77777777" w:rsidR="00CD5F29" w:rsidRDefault="00CD5F29" w:rsidP="008A799A">
            <w:pPr>
              <w:pStyle w:val="ListParagraph"/>
              <w:rPr>
                <w:sz w:val="20"/>
              </w:rPr>
            </w:pPr>
          </w:p>
          <w:p w14:paraId="640C2FCD" w14:textId="77777777" w:rsidR="003E735E" w:rsidRDefault="003E735E" w:rsidP="008A799A">
            <w:pPr>
              <w:pStyle w:val="ListParagraph"/>
              <w:numPr>
                <w:ilvl w:val="1"/>
                <w:numId w:val="16"/>
              </w:numPr>
              <w:ind w:left="720"/>
              <w:rPr>
                <w:sz w:val="20"/>
              </w:rPr>
            </w:pPr>
            <w:r>
              <w:rPr>
                <w:sz w:val="20"/>
              </w:rPr>
              <w:t xml:space="preserve">To what extent </w:t>
            </w:r>
            <w:r w:rsidR="00CD5F29">
              <w:rPr>
                <w:sz w:val="20"/>
              </w:rPr>
              <w:t xml:space="preserve">are agencies </w:t>
            </w:r>
            <w:r>
              <w:rPr>
                <w:sz w:val="20"/>
              </w:rPr>
              <w:t xml:space="preserve">overdue </w:t>
            </w:r>
            <w:r w:rsidR="00CD5F29">
              <w:rPr>
                <w:sz w:val="20"/>
              </w:rPr>
              <w:t>in submitting their final report?</w:t>
            </w:r>
          </w:p>
          <w:p w14:paraId="640C2FCE" w14:textId="77777777" w:rsidR="003E735E" w:rsidRPr="003E735E" w:rsidRDefault="003E735E" w:rsidP="008A799A">
            <w:pPr>
              <w:rPr>
                <w:sz w:val="6"/>
              </w:rPr>
            </w:pPr>
          </w:p>
        </w:tc>
        <w:tc>
          <w:tcPr>
            <w:tcW w:w="3978" w:type="dxa"/>
          </w:tcPr>
          <w:p w14:paraId="640C2FCF" w14:textId="77777777" w:rsidR="00574799" w:rsidRPr="00CD5F29" w:rsidRDefault="00574799" w:rsidP="008A799A">
            <w:pPr>
              <w:rPr>
                <w:sz w:val="20"/>
              </w:rPr>
            </w:pPr>
          </w:p>
          <w:p w14:paraId="640C2FD0" w14:textId="77777777" w:rsidR="00574799" w:rsidRPr="001E2C56" w:rsidRDefault="00574799" w:rsidP="008A799A">
            <w:pPr>
              <w:pStyle w:val="ListParagraph"/>
              <w:ind w:left="342"/>
              <w:rPr>
                <w:sz w:val="20"/>
              </w:rPr>
            </w:pPr>
          </w:p>
          <w:p w14:paraId="640C2FD1" w14:textId="77777777" w:rsidR="00574799" w:rsidRPr="001E2C56" w:rsidRDefault="00CD5F29" w:rsidP="008A799A">
            <w:pPr>
              <w:pStyle w:val="ListParagraph"/>
              <w:numPr>
                <w:ilvl w:val="0"/>
                <w:numId w:val="13"/>
              </w:numPr>
              <w:ind w:left="342"/>
              <w:rPr>
                <w:sz w:val="20"/>
              </w:rPr>
            </w:pPr>
            <w:r>
              <w:rPr>
                <w:sz w:val="20"/>
              </w:rPr>
              <w:t xml:space="preserve">Percentage of reports </w:t>
            </w:r>
            <w:r w:rsidR="00574E2C">
              <w:rPr>
                <w:sz w:val="20"/>
              </w:rPr>
              <w:t xml:space="preserve">received </w:t>
            </w:r>
            <w:r>
              <w:rPr>
                <w:sz w:val="20"/>
              </w:rPr>
              <w:t>on time</w:t>
            </w:r>
          </w:p>
          <w:p w14:paraId="640C2FD2" w14:textId="77777777" w:rsidR="00574799" w:rsidRPr="001E2C56" w:rsidRDefault="00574799" w:rsidP="008A799A">
            <w:pPr>
              <w:pStyle w:val="ListParagraph"/>
              <w:ind w:left="342"/>
              <w:rPr>
                <w:sz w:val="20"/>
              </w:rPr>
            </w:pPr>
          </w:p>
          <w:p w14:paraId="640C2FD3" w14:textId="77777777" w:rsidR="00574799" w:rsidRPr="001E2C56" w:rsidRDefault="00CD5F29" w:rsidP="008A799A">
            <w:pPr>
              <w:pStyle w:val="ListParagraph"/>
              <w:numPr>
                <w:ilvl w:val="0"/>
                <w:numId w:val="13"/>
              </w:numPr>
              <w:ind w:left="342"/>
              <w:rPr>
                <w:sz w:val="20"/>
              </w:rPr>
            </w:pPr>
            <w:r>
              <w:rPr>
                <w:sz w:val="20"/>
              </w:rPr>
              <w:t>Number of calendar days overdue</w:t>
            </w:r>
          </w:p>
          <w:p w14:paraId="640C2FD4" w14:textId="77777777" w:rsidR="00574799" w:rsidRPr="001E2C56" w:rsidRDefault="00574799" w:rsidP="008A799A">
            <w:pPr>
              <w:rPr>
                <w:sz w:val="20"/>
              </w:rPr>
            </w:pPr>
          </w:p>
        </w:tc>
      </w:tr>
      <w:tr w:rsidR="00574799" w:rsidRPr="001E2C56" w14:paraId="640C2FDE" w14:textId="77777777" w:rsidTr="00F41BEC">
        <w:tc>
          <w:tcPr>
            <w:tcW w:w="5958" w:type="dxa"/>
          </w:tcPr>
          <w:p w14:paraId="640C2FD6" w14:textId="77777777" w:rsidR="00574799" w:rsidRDefault="003F25AA" w:rsidP="008A799A">
            <w:pPr>
              <w:pStyle w:val="ListParagraph"/>
              <w:numPr>
                <w:ilvl w:val="0"/>
                <w:numId w:val="16"/>
              </w:numPr>
              <w:ind w:left="360"/>
              <w:rPr>
                <w:sz w:val="20"/>
              </w:rPr>
            </w:pPr>
            <w:r>
              <w:rPr>
                <w:b/>
                <w:i/>
                <w:color w:val="0070C0"/>
                <w:sz w:val="20"/>
              </w:rPr>
              <w:t>Fraud Waste and Abuse</w:t>
            </w:r>
            <w:r w:rsidR="00574799" w:rsidRPr="001E2C56">
              <w:rPr>
                <w:b/>
                <w:i/>
                <w:sz w:val="20"/>
              </w:rPr>
              <w:t>:</w:t>
            </w:r>
            <w:r w:rsidR="00574799" w:rsidRPr="001E2C56">
              <w:rPr>
                <w:sz w:val="20"/>
              </w:rPr>
              <w:t xml:space="preserve">  </w:t>
            </w:r>
          </w:p>
          <w:p w14:paraId="640C2FD7" w14:textId="77777777" w:rsidR="003F25AA" w:rsidRPr="001E2C56" w:rsidRDefault="003F25AA" w:rsidP="008A799A">
            <w:pPr>
              <w:pStyle w:val="ListParagraph"/>
              <w:ind w:left="360"/>
              <w:rPr>
                <w:sz w:val="20"/>
              </w:rPr>
            </w:pPr>
          </w:p>
          <w:p w14:paraId="640C2FD8" w14:textId="46FAD1E3" w:rsidR="00096111" w:rsidRDefault="003F25AA" w:rsidP="008A799A">
            <w:pPr>
              <w:pStyle w:val="ListParagraph"/>
              <w:numPr>
                <w:ilvl w:val="1"/>
                <w:numId w:val="16"/>
              </w:numPr>
              <w:ind w:left="720"/>
              <w:rPr>
                <w:sz w:val="20"/>
              </w:rPr>
            </w:pPr>
            <w:r>
              <w:rPr>
                <w:sz w:val="20"/>
              </w:rPr>
              <w:t xml:space="preserve">Are agencies </w:t>
            </w:r>
            <w:r w:rsidR="00EE6FF7">
              <w:rPr>
                <w:sz w:val="20"/>
              </w:rPr>
              <w:t xml:space="preserve">reporting  </w:t>
            </w:r>
            <w:r>
              <w:rPr>
                <w:sz w:val="20"/>
              </w:rPr>
              <w:t xml:space="preserve">incidents of </w:t>
            </w:r>
            <w:r w:rsidR="00574E2C">
              <w:rPr>
                <w:sz w:val="20"/>
              </w:rPr>
              <w:t>f</w:t>
            </w:r>
            <w:r>
              <w:rPr>
                <w:sz w:val="20"/>
              </w:rPr>
              <w:t>raud</w:t>
            </w:r>
            <w:r w:rsidR="00574E2C">
              <w:rPr>
                <w:sz w:val="20"/>
              </w:rPr>
              <w:t>,</w:t>
            </w:r>
            <w:r>
              <w:rPr>
                <w:sz w:val="20"/>
              </w:rPr>
              <w:t xml:space="preserve"> </w:t>
            </w:r>
            <w:r w:rsidR="00574E2C">
              <w:rPr>
                <w:sz w:val="20"/>
              </w:rPr>
              <w:t>w</w:t>
            </w:r>
            <w:r>
              <w:rPr>
                <w:sz w:val="20"/>
              </w:rPr>
              <w:t>aste</w:t>
            </w:r>
            <w:r w:rsidR="00574E2C">
              <w:rPr>
                <w:sz w:val="20"/>
              </w:rPr>
              <w:t>,</w:t>
            </w:r>
            <w:r>
              <w:rPr>
                <w:sz w:val="20"/>
              </w:rPr>
              <w:t xml:space="preserve"> and </w:t>
            </w:r>
            <w:r w:rsidR="00574E2C">
              <w:rPr>
                <w:sz w:val="20"/>
              </w:rPr>
              <w:t>a</w:t>
            </w:r>
            <w:r>
              <w:rPr>
                <w:sz w:val="20"/>
              </w:rPr>
              <w:t>buse (FWA)?</w:t>
            </w:r>
          </w:p>
          <w:p w14:paraId="640C2FD9" w14:textId="77777777" w:rsidR="003E735E" w:rsidRPr="003E735E" w:rsidRDefault="003E735E" w:rsidP="008A799A">
            <w:pPr>
              <w:pStyle w:val="ListParagraph"/>
              <w:rPr>
                <w:sz w:val="8"/>
              </w:rPr>
            </w:pPr>
          </w:p>
        </w:tc>
        <w:tc>
          <w:tcPr>
            <w:tcW w:w="3978" w:type="dxa"/>
          </w:tcPr>
          <w:p w14:paraId="640C2FDA" w14:textId="77777777" w:rsidR="00574799" w:rsidRDefault="00574799" w:rsidP="008A799A">
            <w:pPr>
              <w:rPr>
                <w:sz w:val="20"/>
              </w:rPr>
            </w:pPr>
          </w:p>
          <w:p w14:paraId="640C2FDB" w14:textId="77777777" w:rsidR="003F25AA" w:rsidRPr="003F25AA" w:rsidRDefault="003F25AA" w:rsidP="008A799A">
            <w:pPr>
              <w:rPr>
                <w:sz w:val="20"/>
              </w:rPr>
            </w:pPr>
          </w:p>
          <w:p w14:paraId="640C2FDC" w14:textId="77777777" w:rsidR="00574799" w:rsidRPr="003F25AA" w:rsidRDefault="00574799" w:rsidP="008A799A">
            <w:pPr>
              <w:pStyle w:val="ListParagraph"/>
              <w:numPr>
                <w:ilvl w:val="0"/>
                <w:numId w:val="13"/>
              </w:numPr>
              <w:ind w:left="342"/>
              <w:rPr>
                <w:sz w:val="20"/>
              </w:rPr>
            </w:pPr>
            <w:r w:rsidRPr="001E2C56">
              <w:rPr>
                <w:sz w:val="20"/>
              </w:rPr>
              <w:t xml:space="preserve">Number of </w:t>
            </w:r>
            <w:r w:rsidR="003F25AA">
              <w:rPr>
                <w:sz w:val="20"/>
              </w:rPr>
              <w:t>FWA incidents reported</w:t>
            </w:r>
          </w:p>
          <w:p w14:paraId="640C2FDD" w14:textId="77777777" w:rsidR="00574799" w:rsidRPr="001E2C56" w:rsidRDefault="00574799" w:rsidP="008A799A">
            <w:pPr>
              <w:rPr>
                <w:sz w:val="20"/>
              </w:rPr>
            </w:pPr>
          </w:p>
        </w:tc>
      </w:tr>
    </w:tbl>
    <w:p w14:paraId="640C2FDF" w14:textId="77777777" w:rsidR="003E735E" w:rsidRDefault="003E735E">
      <w:pPr>
        <w:jc w:val="left"/>
      </w:pPr>
      <w:r>
        <w:br w:type="page"/>
      </w:r>
    </w:p>
    <w:p w14:paraId="640C2FE0" w14:textId="77777777" w:rsidR="003E735E" w:rsidRDefault="003E735E" w:rsidP="003E735E"/>
    <w:p w14:paraId="640C2FE1" w14:textId="03A86CD5" w:rsidR="003E735E" w:rsidRPr="00B629EF" w:rsidRDefault="003E735E" w:rsidP="003E735E">
      <w:pPr>
        <w:pStyle w:val="Heading2"/>
        <w:tabs>
          <w:tab w:val="clear" w:pos="1080"/>
        </w:tabs>
        <w:ind w:left="360" w:hanging="360"/>
        <w:rPr>
          <w:rFonts w:asciiTheme="minorHAnsi" w:hAnsiTheme="minorHAnsi"/>
        </w:rPr>
      </w:pPr>
      <w:bookmarkStart w:id="33" w:name="_Toc391044061"/>
      <w:bookmarkStart w:id="34" w:name="_Toc398119191"/>
      <w:r w:rsidRPr="00B629EF">
        <w:rPr>
          <w:rFonts w:asciiTheme="minorHAnsi" w:hAnsiTheme="minorHAnsi"/>
        </w:rPr>
        <w:t>Commercialization and Other Economic</w:t>
      </w:r>
      <w:bookmarkEnd w:id="33"/>
      <w:r w:rsidRPr="00B629EF">
        <w:rPr>
          <w:rFonts w:asciiTheme="minorHAnsi" w:hAnsiTheme="minorHAnsi"/>
        </w:rPr>
        <w:t xml:space="preserve"> </w:t>
      </w:r>
      <w:r w:rsidR="008F320B">
        <w:rPr>
          <w:rFonts w:asciiTheme="minorHAnsi" w:hAnsiTheme="minorHAnsi"/>
        </w:rPr>
        <w:t>Considerations</w:t>
      </w:r>
      <w:bookmarkEnd w:id="34"/>
    </w:p>
    <w:p w14:paraId="640C2FE2" w14:textId="77777777" w:rsidR="003E735E" w:rsidRPr="007A2ADB" w:rsidRDefault="003E735E" w:rsidP="003E735E">
      <w:pPr>
        <w:rPr>
          <w:i/>
        </w:rPr>
      </w:pPr>
    </w:p>
    <w:tbl>
      <w:tblPr>
        <w:tblStyle w:val="TableGrid"/>
        <w:tblW w:w="0" w:type="auto"/>
        <w:tblLook w:val="04A0" w:firstRow="1" w:lastRow="0" w:firstColumn="1" w:lastColumn="0" w:noHBand="0" w:noVBand="1"/>
      </w:tblPr>
      <w:tblGrid>
        <w:gridCol w:w="5238"/>
        <w:gridCol w:w="4698"/>
      </w:tblGrid>
      <w:tr w:rsidR="003E735E" w:rsidRPr="001E2C56" w14:paraId="640C2FE5" w14:textId="77777777" w:rsidTr="00740AE3">
        <w:trPr>
          <w:tblHeader/>
        </w:trPr>
        <w:tc>
          <w:tcPr>
            <w:tcW w:w="5238" w:type="dxa"/>
            <w:shd w:val="clear" w:color="auto" w:fill="DBE5F1" w:themeFill="accent1" w:themeFillTint="33"/>
          </w:tcPr>
          <w:p w14:paraId="640C2FE3" w14:textId="77777777" w:rsidR="003E735E" w:rsidRPr="001E2C56" w:rsidRDefault="003E735E" w:rsidP="003E735E">
            <w:pPr>
              <w:jc w:val="center"/>
              <w:rPr>
                <w:b/>
                <w:sz w:val="20"/>
              </w:rPr>
            </w:pPr>
            <w:r w:rsidRPr="001E2C56">
              <w:rPr>
                <w:b/>
                <w:sz w:val="20"/>
              </w:rPr>
              <w:t xml:space="preserve">Assessment Questions </w:t>
            </w:r>
            <w:r w:rsidR="001000AB">
              <w:rPr>
                <w:b/>
                <w:sz w:val="20"/>
              </w:rPr>
              <w:t>/ Rationale</w:t>
            </w:r>
          </w:p>
        </w:tc>
        <w:tc>
          <w:tcPr>
            <w:tcW w:w="4698" w:type="dxa"/>
            <w:shd w:val="clear" w:color="auto" w:fill="DBE5F1" w:themeFill="accent1" w:themeFillTint="33"/>
          </w:tcPr>
          <w:p w14:paraId="640C2FE4" w14:textId="4263B592" w:rsidR="003E735E" w:rsidRPr="001E2C56" w:rsidRDefault="002C2863" w:rsidP="003E735E">
            <w:pPr>
              <w:jc w:val="center"/>
              <w:rPr>
                <w:b/>
                <w:sz w:val="20"/>
              </w:rPr>
            </w:pPr>
            <w:r>
              <w:rPr>
                <w:b/>
                <w:sz w:val="20"/>
              </w:rPr>
              <w:t xml:space="preserve">Potential </w:t>
            </w:r>
            <w:r w:rsidR="003E735E" w:rsidRPr="001E2C56">
              <w:rPr>
                <w:b/>
                <w:sz w:val="20"/>
              </w:rPr>
              <w:t>Proposed Metrics</w:t>
            </w:r>
          </w:p>
        </w:tc>
      </w:tr>
      <w:tr w:rsidR="003E735E" w:rsidRPr="001E2C56" w14:paraId="640C2FF5" w14:textId="77777777" w:rsidTr="00886005">
        <w:trPr>
          <w:trHeight w:val="4049"/>
        </w:trPr>
        <w:tc>
          <w:tcPr>
            <w:tcW w:w="5238" w:type="dxa"/>
          </w:tcPr>
          <w:p w14:paraId="640C2FE6" w14:textId="77777777" w:rsidR="007A2ADB" w:rsidRPr="001E2C56" w:rsidRDefault="00886005" w:rsidP="008A799A">
            <w:pPr>
              <w:pStyle w:val="ListParagraph"/>
              <w:numPr>
                <w:ilvl w:val="0"/>
                <w:numId w:val="17"/>
              </w:numPr>
              <w:ind w:left="360"/>
              <w:rPr>
                <w:sz w:val="20"/>
              </w:rPr>
            </w:pPr>
            <w:r>
              <w:rPr>
                <w:b/>
                <w:i/>
                <w:color w:val="0070C0"/>
                <w:sz w:val="20"/>
              </w:rPr>
              <w:t xml:space="preserve">Progress to </w:t>
            </w:r>
            <w:r w:rsidR="007A2ADB">
              <w:rPr>
                <w:b/>
                <w:i/>
                <w:color w:val="0070C0"/>
                <w:sz w:val="20"/>
              </w:rPr>
              <w:t>Commercialization</w:t>
            </w:r>
            <w:r w:rsidR="007A2ADB" w:rsidRPr="001E2C56">
              <w:rPr>
                <w:b/>
                <w:i/>
                <w:sz w:val="20"/>
              </w:rPr>
              <w:t>:</w:t>
            </w:r>
            <w:r w:rsidR="007A2ADB" w:rsidRPr="001E2C56">
              <w:rPr>
                <w:sz w:val="20"/>
              </w:rPr>
              <w:t xml:space="preserve">  </w:t>
            </w:r>
          </w:p>
          <w:p w14:paraId="640C2FE7" w14:textId="77777777" w:rsidR="003E735E" w:rsidRPr="001E2C56" w:rsidRDefault="003E735E" w:rsidP="008A799A">
            <w:pPr>
              <w:pStyle w:val="ListParagraph"/>
              <w:ind w:left="360"/>
              <w:rPr>
                <w:sz w:val="20"/>
              </w:rPr>
            </w:pPr>
          </w:p>
          <w:p w14:paraId="640C2FE8" w14:textId="77777777" w:rsidR="003E735E" w:rsidRDefault="001000AB" w:rsidP="008A799A">
            <w:pPr>
              <w:pStyle w:val="ListParagraph"/>
              <w:numPr>
                <w:ilvl w:val="1"/>
                <w:numId w:val="17"/>
              </w:numPr>
              <w:ind w:left="720"/>
              <w:rPr>
                <w:sz w:val="20"/>
              </w:rPr>
            </w:pPr>
            <w:r>
              <w:rPr>
                <w:sz w:val="20"/>
              </w:rPr>
              <w:t xml:space="preserve">To what extent </w:t>
            </w:r>
            <w:r w:rsidR="00566561">
              <w:rPr>
                <w:sz w:val="20"/>
              </w:rPr>
              <w:t>do</w:t>
            </w:r>
            <w:r w:rsidR="00106EA8">
              <w:rPr>
                <w:sz w:val="20"/>
              </w:rPr>
              <w:t xml:space="preserve"> Phase</w:t>
            </w:r>
            <w:r>
              <w:rPr>
                <w:sz w:val="20"/>
              </w:rPr>
              <w:t xml:space="preserve"> I awards </w:t>
            </w:r>
            <w:r w:rsidR="00566561">
              <w:rPr>
                <w:sz w:val="20"/>
              </w:rPr>
              <w:t>transition to Phase II</w:t>
            </w:r>
            <w:r>
              <w:rPr>
                <w:sz w:val="20"/>
              </w:rPr>
              <w:t>?</w:t>
            </w:r>
          </w:p>
          <w:p w14:paraId="640C2FE9" w14:textId="77777777" w:rsidR="001000AB" w:rsidRPr="001000AB" w:rsidRDefault="001000AB" w:rsidP="008A799A">
            <w:pPr>
              <w:pStyle w:val="ListParagraph"/>
              <w:rPr>
                <w:sz w:val="20"/>
              </w:rPr>
            </w:pPr>
          </w:p>
          <w:p w14:paraId="640C2FEA" w14:textId="665CDBEC" w:rsidR="001000AB" w:rsidRDefault="001000AB" w:rsidP="008A799A">
            <w:pPr>
              <w:pStyle w:val="ListParagraph"/>
              <w:numPr>
                <w:ilvl w:val="1"/>
                <w:numId w:val="17"/>
              </w:numPr>
              <w:ind w:left="720"/>
              <w:rPr>
                <w:sz w:val="20"/>
              </w:rPr>
            </w:pPr>
            <w:r>
              <w:rPr>
                <w:sz w:val="20"/>
              </w:rPr>
              <w:t xml:space="preserve">To what extent do </w:t>
            </w:r>
            <w:r w:rsidR="00106EA8">
              <w:rPr>
                <w:sz w:val="20"/>
              </w:rPr>
              <w:t>Phase</w:t>
            </w:r>
            <w:r>
              <w:rPr>
                <w:sz w:val="20"/>
              </w:rPr>
              <w:t xml:space="preserve"> I awards achieve </w:t>
            </w:r>
            <w:r w:rsidR="00106EA8">
              <w:rPr>
                <w:sz w:val="20"/>
              </w:rPr>
              <w:t xml:space="preserve">some </w:t>
            </w:r>
            <w:r w:rsidR="00D528B4">
              <w:rPr>
                <w:sz w:val="20"/>
              </w:rPr>
              <w:t xml:space="preserve">initial </w:t>
            </w:r>
            <w:r w:rsidR="00106EA8">
              <w:rPr>
                <w:sz w:val="20"/>
              </w:rPr>
              <w:t>level</w:t>
            </w:r>
            <w:r w:rsidR="00E51EB7" w:rsidRPr="00E51EB7">
              <w:rPr>
                <w:sz w:val="20"/>
              </w:rPr>
              <w:t xml:space="preserve"> of commercialization (At least $100,000 in sales or investment or</w:t>
            </w:r>
            <w:r w:rsidR="004B5E76">
              <w:rPr>
                <w:sz w:val="20"/>
              </w:rPr>
              <w:t xml:space="preserve"> received a patent on the technology</w:t>
            </w:r>
            <w:r w:rsidR="008A799A">
              <w:rPr>
                <w:sz w:val="20"/>
              </w:rPr>
              <w:t xml:space="preserve">)? Full commercialization: </w:t>
            </w:r>
            <w:r w:rsidR="00E51EB7" w:rsidRPr="00E51EB7">
              <w:rPr>
                <w:sz w:val="20"/>
              </w:rPr>
              <w:t>Sales or investment) at least equal to SBIR/STTR awards?</w:t>
            </w:r>
          </w:p>
          <w:p w14:paraId="640C2FEB" w14:textId="77777777" w:rsidR="00E51EB7" w:rsidRDefault="00E51EB7" w:rsidP="008A799A">
            <w:pPr>
              <w:pStyle w:val="ListParagraph"/>
              <w:rPr>
                <w:sz w:val="20"/>
              </w:rPr>
            </w:pPr>
          </w:p>
          <w:p w14:paraId="640C2FEC" w14:textId="3FB407DD" w:rsidR="003E735E" w:rsidRPr="00886005" w:rsidRDefault="00E51EB7" w:rsidP="008A799A">
            <w:pPr>
              <w:pStyle w:val="ListParagraph"/>
              <w:numPr>
                <w:ilvl w:val="1"/>
                <w:numId w:val="17"/>
              </w:numPr>
              <w:ind w:left="720"/>
              <w:rPr>
                <w:sz w:val="20"/>
              </w:rPr>
            </w:pPr>
            <w:r>
              <w:rPr>
                <w:sz w:val="20"/>
              </w:rPr>
              <w:t xml:space="preserve">To what extent do Phase II awards achieve some </w:t>
            </w:r>
            <w:r w:rsidR="00D528B4">
              <w:rPr>
                <w:sz w:val="20"/>
              </w:rPr>
              <w:t xml:space="preserve">initial </w:t>
            </w:r>
            <w:r>
              <w:rPr>
                <w:sz w:val="20"/>
              </w:rPr>
              <w:t xml:space="preserve">level of commercialization (At least $100,000 in sales or investment or </w:t>
            </w:r>
            <w:r w:rsidR="004B5E76">
              <w:rPr>
                <w:sz w:val="20"/>
              </w:rPr>
              <w:t>received a patent on the technology</w:t>
            </w:r>
            <w:r w:rsidR="008A799A">
              <w:rPr>
                <w:sz w:val="20"/>
              </w:rPr>
              <w:t>)?</w:t>
            </w:r>
            <w:r w:rsidR="00715501">
              <w:rPr>
                <w:sz w:val="20"/>
              </w:rPr>
              <w:t xml:space="preserve"> </w:t>
            </w:r>
            <w:r w:rsidR="008A799A">
              <w:rPr>
                <w:sz w:val="20"/>
              </w:rPr>
              <w:t xml:space="preserve">Full commercialization: </w:t>
            </w:r>
            <w:r>
              <w:rPr>
                <w:sz w:val="20"/>
              </w:rPr>
              <w:t>Sales or investment) at least equal to SBIR/STTR awards?</w:t>
            </w:r>
          </w:p>
        </w:tc>
        <w:tc>
          <w:tcPr>
            <w:tcW w:w="4698" w:type="dxa"/>
          </w:tcPr>
          <w:p w14:paraId="640C2FED" w14:textId="1F52BDF8" w:rsidR="00740AE3" w:rsidRDefault="00740AE3" w:rsidP="008A799A">
            <w:pPr>
              <w:pStyle w:val="ListParagraph"/>
              <w:numPr>
                <w:ilvl w:val="0"/>
                <w:numId w:val="13"/>
              </w:numPr>
              <w:ind w:left="342"/>
              <w:rPr>
                <w:sz w:val="20"/>
              </w:rPr>
            </w:pPr>
            <w:r>
              <w:rPr>
                <w:sz w:val="20"/>
              </w:rPr>
              <w:t>Percent of Phase I award</w:t>
            </w:r>
            <w:r w:rsidR="002D24C4">
              <w:rPr>
                <w:sz w:val="20"/>
              </w:rPr>
              <w:t xml:space="preserve"> recipients</w:t>
            </w:r>
            <w:r>
              <w:rPr>
                <w:sz w:val="20"/>
              </w:rPr>
              <w:t xml:space="preserve">  (based on number and dollars)</w:t>
            </w:r>
            <w:r w:rsidR="002D24C4">
              <w:rPr>
                <w:sz w:val="20"/>
              </w:rPr>
              <w:t xml:space="preserve"> that:</w:t>
            </w:r>
          </w:p>
          <w:p w14:paraId="640C2FEE" w14:textId="444E9807" w:rsidR="003E735E" w:rsidRDefault="002D24C4" w:rsidP="008A799A">
            <w:pPr>
              <w:pStyle w:val="ListParagraph"/>
              <w:numPr>
                <w:ilvl w:val="1"/>
                <w:numId w:val="13"/>
              </w:numPr>
              <w:ind w:left="702"/>
              <w:rPr>
                <w:sz w:val="20"/>
              </w:rPr>
            </w:pPr>
            <w:r>
              <w:rPr>
                <w:sz w:val="20"/>
              </w:rPr>
              <w:t>Receive</w:t>
            </w:r>
            <w:r w:rsidR="00740AE3">
              <w:rPr>
                <w:sz w:val="20"/>
              </w:rPr>
              <w:t xml:space="preserve"> a Phase II award</w:t>
            </w:r>
          </w:p>
          <w:p w14:paraId="640C2FEF" w14:textId="59774D07" w:rsidR="00740AE3" w:rsidRDefault="00740AE3" w:rsidP="008A799A">
            <w:pPr>
              <w:pStyle w:val="ListParagraph"/>
              <w:numPr>
                <w:ilvl w:val="1"/>
                <w:numId w:val="13"/>
              </w:numPr>
              <w:ind w:left="702"/>
              <w:rPr>
                <w:sz w:val="20"/>
              </w:rPr>
            </w:pPr>
            <w:r>
              <w:rPr>
                <w:sz w:val="20"/>
              </w:rPr>
              <w:t>Achiev</w:t>
            </w:r>
            <w:r w:rsidR="002D24C4">
              <w:rPr>
                <w:sz w:val="20"/>
              </w:rPr>
              <w:t>e</w:t>
            </w:r>
            <w:r>
              <w:rPr>
                <w:sz w:val="20"/>
              </w:rPr>
              <w:t xml:space="preserve"> </w:t>
            </w:r>
            <w:r w:rsidR="00E51EB7">
              <w:rPr>
                <w:sz w:val="20"/>
              </w:rPr>
              <w:t xml:space="preserve">at least $100,000 in sales or investment or </w:t>
            </w:r>
            <w:r w:rsidR="004B5E76">
              <w:rPr>
                <w:sz w:val="20"/>
              </w:rPr>
              <w:t>received a patent on the technology</w:t>
            </w:r>
          </w:p>
          <w:p w14:paraId="640C2FF0" w14:textId="5038EEDE" w:rsidR="003E735E" w:rsidRDefault="00740AE3" w:rsidP="008A799A">
            <w:pPr>
              <w:pStyle w:val="ListParagraph"/>
              <w:numPr>
                <w:ilvl w:val="1"/>
                <w:numId w:val="13"/>
              </w:numPr>
              <w:ind w:left="702"/>
              <w:rPr>
                <w:sz w:val="20"/>
              </w:rPr>
            </w:pPr>
            <w:r>
              <w:rPr>
                <w:sz w:val="20"/>
              </w:rPr>
              <w:t>Achiev</w:t>
            </w:r>
            <w:r w:rsidR="002D24C4">
              <w:rPr>
                <w:sz w:val="20"/>
              </w:rPr>
              <w:t>e</w:t>
            </w:r>
            <w:r>
              <w:rPr>
                <w:sz w:val="20"/>
              </w:rPr>
              <w:t xml:space="preserve"> </w:t>
            </w:r>
            <w:r w:rsidR="002D24C4">
              <w:rPr>
                <w:sz w:val="20"/>
              </w:rPr>
              <w:t>s</w:t>
            </w:r>
            <w:r w:rsidR="00E51EB7" w:rsidRPr="00E51EB7">
              <w:rPr>
                <w:sz w:val="20"/>
              </w:rPr>
              <w:t>ales or investment at least equal to</w:t>
            </w:r>
            <w:r w:rsidR="002D24C4">
              <w:rPr>
                <w:sz w:val="20"/>
              </w:rPr>
              <w:t xml:space="preserve"> the amount of their</w:t>
            </w:r>
            <w:r w:rsidR="00E51EB7" w:rsidRPr="00E51EB7">
              <w:rPr>
                <w:sz w:val="20"/>
              </w:rPr>
              <w:t xml:space="preserve"> SBIR/STTR awards </w:t>
            </w:r>
          </w:p>
          <w:p w14:paraId="640C2FF1" w14:textId="77777777" w:rsidR="00965CC9" w:rsidRPr="001E2C56" w:rsidRDefault="00965CC9" w:rsidP="008A799A">
            <w:pPr>
              <w:pStyle w:val="ListParagraph"/>
              <w:ind w:left="882"/>
              <w:rPr>
                <w:sz w:val="20"/>
              </w:rPr>
            </w:pPr>
          </w:p>
          <w:p w14:paraId="640C2FF2" w14:textId="3330A75F" w:rsidR="00740AE3" w:rsidRDefault="00740AE3" w:rsidP="008A799A">
            <w:pPr>
              <w:pStyle w:val="ListParagraph"/>
              <w:numPr>
                <w:ilvl w:val="0"/>
                <w:numId w:val="13"/>
              </w:numPr>
              <w:ind w:left="342"/>
              <w:rPr>
                <w:sz w:val="20"/>
              </w:rPr>
            </w:pPr>
            <w:r>
              <w:rPr>
                <w:sz w:val="20"/>
              </w:rPr>
              <w:t>Percent of Phase II award</w:t>
            </w:r>
            <w:r w:rsidR="002D24C4">
              <w:rPr>
                <w:sz w:val="20"/>
              </w:rPr>
              <w:t xml:space="preserve"> recipients</w:t>
            </w:r>
            <w:r>
              <w:rPr>
                <w:sz w:val="20"/>
              </w:rPr>
              <w:t xml:space="preserve"> (based on number and dollars)</w:t>
            </w:r>
            <w:r w:rsidR="002D24C4">
              <w:rPr>
                <w:sz w:val="20"/>
              </w:rPr>
              <w:t xml:space="preserve"> that:</w:t>
            </w:r>
          </w:p>
          <w:p w14:paraId="640C2FF3" w14:textId="31C12363" w:rsidR="00E51EB7" w:rsidRPr="00E51EB7" w:rsidRDefault="00E51EB7" w:rsidP="008A799A">
            <w:pPr>
              <w:pStyle w:val="ListParagraph"/>
              <w:numPr>
                <w:ilvl w:val="1"/>
                <w:numId w:val="13"/>
              </w:numPr>
              <w:ind w:left="702"/>
              <w:rPr>
                <w:sz w:val="20"/>
              </w:rPr>
            </w:pPr>
            <w:r w:rsidRPr="00E51EB7">
              <w:rPr>
                <w:sz w:val="20"/>
              </w:rPr>
              <w:t>Achiev</w:t>
            </w:r>
            <w:r w:rsidR="002D24C4">
              <w:rPr>
                <w:sz w:val="20"/>
              </w:rPr>
              <w:t>e</w:t>
            </w:r>
            <w:r w:rsidRPr="00E51EB7">
              <w:rPr>
                <w:sz w:val="20"/>
              </w:rPr>
              <w:t xml:space="preserve"> at least $100,000 in sales or investment or </w:t>
            </w:r>
            <w:r w:rsidR="004B5E76">
              <w:rPr>
                <w:sz w:val="20"/>
              </w:rPr>
              <w:t>received a patent on the technology</w:t>
            </w:r>
          </w:p>
          <w:p w14:paraId="640C2FF4" w14:textId="0332B49C" w:rsidR="00740AE3" w:rsidRPr="004B5E76" w:rsidRDefault="00E51EB7" w:rsidP="008A799A">
            <w:pPr>
              <w:pStyle w:val="ListParagraph"/>
              <w:numPr>
                <w:ilvl w:val="1"/>
                <w:numId w:val="13"/>
              </w:numPr>
              <w:ind w:left="702"/>
              <w:rPr>
                <w:sz w:val="20"/>
              </w:rPr>
            </w:pPr>
            <w:r w:rsidRPr="00E51EB7">
              <w:rPr>
                <w:sz w:val="20"/>
              </w:rPr>
              <w:t>Achiev</w:t>
            </w:r>
            <w:r w:rsidR="002D24C4">
              <w:rPr>
                <w:sz w:val="20"/>
              </w:rPr>
              <w:t>e</w:t>
            </w:r>
            <w:r w:rsidRPr="00E51EB7">
              <w:rPr>
                <w:sz w:val="20"/>
              </w:rPr>
              <w:t xml:space="preserve"> </w:t>
            </w:r>
            <w:r w:rsidR="002D24C4">
              <w:rPr>
                <w:sz w:val="20"/>
              </w:rPr>
              <w:t>s</w:t>
            </w:r>
            <w:r w:rsidRPr="00E51EB7">
              <w:rPr>
                <w:sz w:val="20"/>
              </w:rPr>
              <w:t xml:space="preserve">ales or investment at least equal to SBIR/STTR awards </w:t>
            </w:r>
          </w:p>
        </w:tc>
      </w:tr>
    </w:tbl>
    <w:p w14:paraId="640C2FF6" w14:textId="77777777" w:rsidR="001F5DF0" w:rsidRDefault="001F5DF0" w:rsidP="003E735E">
      <w:pPr>
        <w:pStyle w:val="ListParagraph"/>
        <w:ind w:left="342"/>
        <w:jc w:val="left"/>
        <w:rPr>
          <w:sz w:val="20"/>
        </w:rPr>
      </w:pPr>
    </w:p>
    <w:p w14:paraId="640C2FF7" w14:textId="330CDEB8" w:rsidR="001F5DF0" w:rsidRPr="00715501" w:rsidRDefault="00106EA8" w:rsidP="008A799A">
      <w:pPr>
        <w:rPr>
          <w:szCs w:val="22"/>
        </w:rPr>
      </w:pPr>
      <w:r w:rsidRPr="00715501">
        <w:rPr>
          <w:b/>
          <w:szCs w:val="22"/>
        </w:rPr>
        <w:t>Rationale</w:t>
      </w:r>
      <w:r w:rsidR="001F5DF0" w:rsidRPr="00715501">
        <w:rPr>
          <w:szCs w:val="22"/>
        </w:rPr>
        <w:t xml:space="preserve">: If </w:t>
      </w:r>
      <w:r w:rsidR="00965CC9" w:rsidRPr="00715501">
        <w:rPr>
          <w:szCs w:val="22"/>
        </w:rPr>
        <w:t xml:space="preserve">we </w:t>
      </w:r>
      <w:r w:rsidR="00242BB6" w:rsidRPr="00715501">
        <w:rPr>
          <w:szCs w:val="22"/>
        </w:rPr>
        <w:t>consider</w:t>
      </w:r>
      <w:r w:rsidR="001F5DF0" w:rsidRPr="00715501">
        <w:rPr>
          <w:szCs w:val="22"/>
        </w:rPr>
        <w:t xml:space="preserve"> the SBIR/STTR </w:t>
      </w:r>
      <w:r w:rsidRPr="00715501">
        <w:rPr>
          <w:szCs w:val="22"/>
        </w:rPr>
        <w:t>portfolio</w:t>
      </w:r>
      <w:r w:rsidR="001F5DF0" w:rsidRPr="00715501">
        <w:rPr>
          <w:szCs w:val="22"/>
        </w:rPr>
        <w:t xml:space="preserve"> </w:t>
      </w:r>
      <w:r w:rsidR="00D62E81" w:rsidRPr="00715501">
        <w:rPr>
          <w:szCs w:val="22"/>
        </w:rPr>
        <w:t>to be comparable</w:t>
      </w:r>
      <w:r w:rsidR="00242BB6" w:rsidRPr="00715501">
        <w:rPr>
          <w:szCs w:val="22"/>
        </w:rPr>
        <w:t xml:space="preserve"> to </w:t>
      </w:r>
      <w:r w:rsidR="001F5DF0" w:rsidRPr="00715501">
        <w:rPr>
          <w:szCs w:val="22"/>
        </w:rPr>
        <w:t>a large early</w:t>
      </w:r>
      <w:r w:rsidR="00D62E81" w:rsidRPr="00715501">
        <w:rPr>
          <w:szCs w:val="22"/>
        </w:rPr>
        <w:t>/seed</w:t>
      </w:r>
      <w:r w:rsidR="001F5DF0" w:rsidRPr="00715501">
        <w:rPr>
          <w:szCs w:val="22"/>
        </w:rPr>
        <w:t xml:space="preserve"> </w:t>
      </w:r>
      <w:r w:rsidRPr="00715501">
        <w:rPr>
          <w:szCs w:val="22"/>
        </w:rPr>
        <w:t>stage venture</w:t>
      </w:r>
      <w:r w:rsidR="001F5DF0" w:rsidRPr="00715501">
        <w:rPr>
          <w:szCs w:val="22"/>
        </w:rPr>
        <w:t xml:space="preserve"> capital fund, Phase I </w:t>
      </w:r>
      <w:r w:rsidR="00D62E81" w:rsidRPr="00715501">
        <w:rPr>
          <w:szCs w:val="22"/>
        </w:rPr>
        <w:t>would be considered the</w:t>
      </w:r>
      <w:r w:rsidR="001F5DF0" w:rsidRPr="00715501">
        <w:rPr>
          <w:szCs w:val="22"/>
        </w:rPr>
        <w:t xml:space="preserve"> initial investment and Phase II </w:t>
      </w:r>
      <w:r w:rsidR="00D62E81" w:rsidRPr="00715501">
        <w:rPr>
          <w:szCs w:val="22"/>
        </w:rPr>
        <w:t>the</w:t>
      </w:r>
      <w:r w:rsidR="001F5DF0" w:rsidRPr="00715501">
        <w:rPr>
          <w:szCs w:val="22"/>
        </w:rPr>
        <w:t xml:space="preserve"> follow-on investments</w:t>
      </w:r>
      <w:r w:rsidR="00242BB6" w:rsidRPr="00715501">
        <w:rPr>
          <w:szCs w:val="22"/>
        </w:rPr>
        <w:t>.</w:t>
      </w:r>
      <w:r w:rsidR="00D62E81" w:rsidRPr="00715501">
        <w:rPr>
          <w:szCs w:val="22"/>
        </w:rPr>
        <w:t xml:space="preserve"> </w:t>
      </w:r>
      <w:r w:rsidR="00242BB6" w:rsidRPr="00715501">
        <w:rPr>
          <w:szCs w:val="22"/>
        </w:rPr>
        <w:t>As such</w:t>
      </w:r>
      <w:r w:rsidR="001F5DF0" w:rsidRPr="00715501">
        <w:rPr>
          <w:szCs w:val="22"/>
        </w:rPr>
        <w:t xml:space="preserve">, we </w:t>
      </w:r>
      <w:r w:rsidR="00D62E81" w:rsidRPr="00715501">
        <w:rPr>
          <w:szCs w:val="22"/>
        </w:rPr>
        <w:t xml:space="preserve">should </w:t>
      </w:r>
      <w:r w:rsidR="001F5DF0" w:rsidRPr="00715501">
        <w:rPr>
          <w:szCs w:val="22"/>
        </w:rPr>
        <w:t xml:space="preserve">expect that a </w:t>
      </w:r>
      <w:r w:rsidRPr="00715501">
        <w:rPr>
          <w:szCs w:val="22"/>
        </w:rPr>
        <w:t>large percentage</w:t>
      </w:r>
      <w:r w:rsidR="001F5DF0" w:rsidRPr="00715501">
        <w:rPr>
          <w:szCs w:val="22"/>
        </w:rPr>
        <w:t xml:space="preserve"> of investments will fail, some investments will have moderate returns, and some will be home runs. Understanding the overall success of the SBIR/STTR portfolio is critical to evaluating this program.  </w:t>
      </w:r>
    </w:p>
    <w:p w14:paraId="640C2FF8" w14:textId="77777777" w:rsidR="00357519" w:rsidRPr="00715501" w:rsidRDefault="00357519" w:rsidP="008A799A">
      <w:pPr>
        <w:rPr>
          <w:szCs w:val="22"/>
        </w:rPr>
      </w:pPr>
    </w:p>
    <w:p w14:paraId="640C2FF9" w14:textId="2FC79648" w:rsidR="00613443" w:rsidRPr="00715501" w:rsidRDefault="00613443" w:rsidP="008A799A">
      <w:pPr>
        <w:rPr>
          <w:szCs w:val="22"/>
        </w:rPr>
      </w:pPr>
      <w:r w:rsidRPr="00715501">
        <w:rPr>
          <w:szCs w:val="22"/>
        </w:rPr>
        <w:t xml:space="preserve">Results for seed and early stage investments may take years to realize, especially for life sciences. One way to track this progression would be to measure </w:t>
      </w:r>
      <w:r w:rsidR="00106EA8" w:rsidRPr="00715501">
        <w:rPr>
          <w:szCs w:val="22"/>
        </w:rPr>
        <w:t>commercialization</w:t>
      </w:r>
      <w:r w:rsidRPr="00715501">
        <w:rPr>
          <w:szCs w:val="22"/>
        </w:rPr>
        <w:t xml:space="preserve"> </w:t>
      </w:r>
      <w:r w:rsidR="00D62E81" w:rsidRPr="00715501">
        <w:rPr>
          <w:szCs w:val="22"/>
        </w:rPr>
        <w:t xml:space="preserve">results by “vintage year” or </w:t>
      </w:r>
      <w:r w:rsidRPr="00715501">
        <w:rPr>
          <w:szCs w:val="22"/>
        </w:rPr>
        <w:t xml:space="preserve">the year the </w:t>
      </w:r>
      <w:r w:rsidR="00D62E81" w:rsidRPr="00715501">
        <w:rPr>
          <w:szCs w:val="22"/>
        </w:rPr>
        <w:t>initial (Phase I)</w:t>
      </w:r>
      <w:r w:rsidRPr="00715501">
        <w:rPr>
          <w:szCs w:val="22"/>
        </w:rPr>
        <w:t xml:space="preserve"> in</w:t>
      </w:r>
      <w:r w:rsidR="00D62E81" w:rsidRPr="00715501">
        <w:rPr>
          <w:szCs w:val="22"/>
        </w:rPr>
        <w:t xml:space="preserve">vestment was made. </w:t>
      </w:r>
      <w:r w:rsidRPr="00715501">
        <w:rPr>
          <w:szCs w:val="22"/>
        </w:rPr>
        <w:t>An example of how this metric might be captured is shown below.</w:t>
      </w:r>
    </w:p>
    <w:p w14:paraId="640C2FFA" w14:textId="77777777" w:rsidR="00613443" w:rsidRDefault="00613443" w:rsidP="008A799A">
      <w:pPr>
        <w:rPr>
          <w:sz w:val="20"/>
        </w:rPr>
      </w:pPr>
    </w:p>
    <w:p w14:paraId="640C2FFB" w14:textId="77777777" w:rsidR="00613443" w:rsidRDefault="00613443" w:rsidP="00613443">
      <w:pPr>
        <w:jc w:val="center"/>
        <w:rPr>
          <w:sz w:val="20"/>
        </w:rPr>
      </w:pPr>
      <w:r w:rsidRPr="00886005">
        <w:rPr>
          <w:noProof/>
          <w:sz w:val="20"/>
          <w:shd w:val="clear" w:color="auto" w:fill="FFFFFF" w:themeFill="background1"/>
        </w:rPr>
        <w:drawing>
          <wp:inline distT="0" distB="0" distL="0" distR="0" wp14:anchorId="640C3043" wp14:editId="640C3044">
            <wp:extent cx="4956048" cy="2798064"/>
            <wp:effectExtent l="0" t="0" r="16510" b="215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40C2FFC" w14:textId="77777777" w:rsidR="00613443" w:rsidRDefault="00613443" w:rsidP="00613443">
      <w:pPr>
        <w:jc w:val="left"/>
        <w:rPr>
          <w:sz w:val="20"/>
        </w:rPr>
      </w:pPr>
    </w:p>
    <w:p w14:paraId="640C2FFD" w14:textId="3B8DCF66" w:rsidR="00613443" w:rsidRPr="00715501" w:rsidRDefault="00613443" w:rsidP="008A799A">
      <w:pPr>
        <w:rPr>
          <w:szCs w:val="22"/>
        </w:rPr>
      </w:pPr>
      <w:r w:rsidRPr="00715501">
        <w:rPr>
          <w:szCs w:val="22"/>
        </w:rPr>
        <w:lastRenderedPageBreak/>
        <w:t>If the chart was based on actual data, one could see increased progress in achieving commercialization as each “vintage</w:t>
      </w:r>
      <w:r w:rsidR="004878B8" w:rsidRPr="00715501">
        <w:rPr>
          <w:szCs w:val="22"/>
        </w:rPr>
        <w:t xml:space="preserve"> year</w:t>
      </w:r>
      <w:r w:rsidRPr="00715501">
        <w:rPr>
          <w:szCs w:val="22"/>
        </w:rPr>
        <w:t>” of awards matured. This would give the IPC</w:t>
      </w:r>
      <w:r w:rsidR="004878B8" w:rsidRPr="00715501">
        <w:rPr>
          <w:szCs w:val="22"/>
        </w:rPr>
        <w:t xml:space="preserve"> and Congress</w:t>
      </w:r>
      <w:r w:rsidRPr="00715501">
        <w:rPr>
          <w:szCs w:val="22"/>
        </w:rPr>
        <w:t xml:space="preserve"> a sense for both the eventual percentage of realizations and how long it takes before one can reasonably expect commercialization results.</w:t>
      </w:r>
      <w:r w:rsidR="004878B8" w:rsidRPr="00715501">
        <w:rPr>
          <w:szCs w:val="22"/>
        </w:rPr>
        <w:t xml:space="preserve"> Once sufficient data was gathered, one </w:t>
      </w:r>
      <w:r w:rsidR="004E0A85" w:rsidRPr="00715501">
        <w:rPr>
          <w:szCs w:val="22"/>
        </w:rPr>
        <w:t xml:space="preserve">can </w:t>
      </w:r>
      <w:r w:rsidR="00106EA8" w:rsidRPr="00715501">
        <w:rPr>
          <w:szCs w:val="22"/>
        </w:rPr>
        <w:t>calculate an</w:t>
      </w:r>
      <w:r w:rsidR="004878B8" w:rsidRPr="00715501">
        <w:rPr>
          <w:szCs w:val="22"/>
        </w:rPr>
        <w:t xml:space="preserve"> average commercialization growth rate from </w:t>
      </w:r>
      <w:r w:rsidR="004E0A85" w:rsidRPr="00715501">
        <w:rPr>
          <w:szCs w:val="22"/>
        </w:rPr>
        <w:t xml:space="preserve">one </w:t>
      </w:r>
      <w:r w:rsidR="004878B8" w:rsidRPr="00715501">
        <w:rPr>
          <w:szCs w:val="22"/>
        </w:rPr>
        <w:t>year of Phase I investment.</w:t>
      </w:r>
    </w:p>
    <w:p w14:paraId="640C2FFE" w14:textId="77777777" w:rsidR="00613443" w:rsidRPr="00715501" w:rsidRDefault="00613443" w:rsidP="008A799A">
      <w:pPr>
        <w:rPr>
          <w:szCs w:val="22"/>
        </w:rPr>
      </w:pPr>
    </w:p>
    <w:p w14:paraId="640C2FFF" w14:textId="4A5A3D9E" w:rsidR="00613443" w:rsidRPr="00715501" w:rsidRDefault="00A21AD4" w:rsidP="008A799A">
      <w:pPr>
        <w:rPr>
          <w:szCs w:val="22"/>
        </w:rPr>
      </w:pPr>
      <w:r w:rsidRPr="00715501">
        <w:rPr>
          <w:szCs w:val="22"/>
        </w:rPr>
        <w:t>Similar</w:t>
      </w:r>
      <w:r w:rsidR="00613443" w:rsidRPr="00715501">
        <w:rPr>
          <w:szCs w:val="22"/>
        </w:rPr>
        <w:t xml:space="preserve"> tracking could also be done for Phase II investments. However, one would expect a much higher percentage of Phase II investments to achiev</w:t>
      </w:r>
      <w:r w:rsidR="00965CC9" w:rsidRPr="00715501">
        <w:rPr>
          <w:szCs w:val="22"/>
        </w:rPr>
        <w:t>e commercialization.</w:t>
      </w:r>
    </w:p>
    <w:p w14:paraId="640C3000" w14:textId="77777777" w:rsidR="00613443" w:rsidRPr="00715501" w:rsidRDefault="00613443" w:rsidP="008A799A">
      <w:pPr>
        <w:rPr>
          <w:szCs w:val="22"/>
        </w:rPr>
      </w:pPr>
    </w:p>
    <w:p w14:paraId="640C3001" w14:textId="7033151A" w:rsidR="00965CC9" w:rsidRPr="00715501" w:rsidRDefault="00613443" w:rsidP="008A799A">
      <w:pPr>
        <w:rPr>
          <w:szCs w:val="22"/>
        </w:rPr>
      </w:pPr>
      <w:r w:rsidRPr="00715501">
        <w:rPr>
          <w:szCs w:val="22"/>
        </w:rPr>
        <w:t xml:space="preserve">The percentage of commercialization that should be achieved is </w:t>
      </w:r>
      <w:r w:rsidR="00F13641" w:rsidRPr="00715501">
        <w:rPr>
          <w:szCs w:val="22"/>
        </w:rPr>
        <w:t xml:space="preserve">debatable. </w:t>
      </w:r>
      <w:r w:rsidR="00965CC9" w:rsidRPr="00715501">
        <w:rPr>
          <w:szCs w:val="22"/>
        </w:rPr>
        <w:t xml:space="preserve">Too high a number may indicate too conservative an approach which does not yield the “home run” returns associated with winners in an early stage portfolio. </w:t>
      </w:r>
      <w:r w:rsidR="00357519" w:rsidRPr="00715501">
        <w:rPr>
          <w:szCs w:val="22"/>
        </w:rPr>
        <w:t xml:space="preserve">As a benchmark, we </w:t>
      </w:r>
      <w:r w:rsidR="00965CC9" w:rsidRPr="00715501">
        <w:rPr>
          <w:szCs w:val="22"/>
        </w:rPr>
        <w:t>could</w:t>
      </w:r>
      <w:r w:rsidR="00357519" w:rsidRPr="00715501">
        <w:rPr>
          <w:szCs w:val="22"/>
        </w:rPr>
        <w:t xml:space="preserve"> look at </w:t>
      </w:r>
      <w:r w:rsidR="00965CC9" w:rsidRPr="00715501">
        <w:rPr>
          <w:szCs w:val="22"/>
        </w:rPr>
        <w:t xml:space="preserve">successful early stage funds.  </w:t>
      </w:r>
    </w:p>
    <w:p w14:paraId="640C3002" w14:textId="77777777" w:rsidR="00965CC9" w:rsidRPr="00715501" w:rsidRDefault="00965CC9" w:rsidP="008A799A">
      <w:pPr>
        <w:rPr>
          <w:szCs w:val="22"/>
        </w:rPr>
      </w:pPr>
    </w:p>
    <w:p w14:paraId="640C3003" w14:textId="77777777" w:rsidR="001F5DF0" w:rsidRPr="00715501" w:rsidRDefault="00965CC9" w:rsidP="008A799A">
      <w:pPr>
        <w:rPr>
          <w:szCs w:val="22"/>
        </w:rPr>
      </w:pPr>
      <w:r w:rsidRPr="00715501">
        <w:rPr>
          <w:szCs w:val="22"/>
        </w:rPr>
        <w:t xml:space="preserve">SBA’s </w:t>
      </w:r>
      <w:r w:rsidR="00357519" w:rsidRPr="00715501">
        <w:rPr>
          <w:szCs w:val="22"/>
        </w:rPr>
        <w:t>Participating Security Sm</w:t>
      </w:r>
      <w:r w:rsidRPr="00715501">
        <w:rPr>
          <w:szCs w:val="22"/>
        </w:rPr>
        <w:t xml:space="preserve">all Business Investment Companies </w:t>
      </w:r>
      <w:r w:rsidR="00357519" w:rsidRPr="00715501">
        <w:rPr>
          <w:szCs w:val="22"/>
        </w:rPr>
        <w:t>(SBIC</w:t>
      </w:r>
      <w:r w:rsidRPr="00715501">
        <w:rPr>
          <w:szCs w:val="22"/>
        </w:rPr>
        <w:t>s</w:t>
      </w:r>
      <w:r w:rsidR="00357519" w:rsidRPr="00715501">
        <w:rPr>
          <w:szCs w:val="22"/>
        </w:rPr>
        <w:t>)</w:t>
      </w:r>
      <w:r w:rsidR="00B065FB" w:rsidRPr="00715501">
        <w:rPr>
          <w:szCs w:val="22"/>
        </w:rPr>
        <w:t xml:space="preserve"> may provide a reasonable indicator since they performed a high per</w:t>
      </w:r>
      <w:r w:rsidR="00106EA8" w:rsidRPr="00715501">
        <w:rPr>
          <w:szCs w:val="22"/>
        </w:rPr>
        <w:t>centage</w:t>
      </w:r>
      <w:r w:rsidRPr="00715501">
        <w:rPr>
          <w:szCs w:val="22"/>
        </w:rPr>
        <w:t xml:space="preserve"> of seed and early stage investing.  </w:t>
      </w:r>
      <w:r w:rsidR="00B065FB" w:rsidRPr="00715501">
        <w:rPr>
          <w:szCs w:val="22"/>
        </w:rPr>
        <w:t>The chart below distributes</w:t>
      </w:r>
      <w:r w:rsidRPr="00715501">
        <w:rPr>
          <w:szCs w:val="22"/>
        </w:rPr>
        <w:t xml:space="preserve"> </w:t>
      </w:r>
      <w:r w:rsidR="00B065FB" w:rsidRPr="00715501">
        <w:rPr>
          <w:szCs w:val="22"/>
        </w:rPr>
        <w:t>investment return</w:t>
      </w:r>
      <w:r w:rsidR="00357519" w:rsidRPr="00715501">
        <w:rPr>
          <w:szCs w:val="22"/>
        </w:rPr>
        <w:t xml:space="preserve"> data</w:t>
      </w:r>
      <w:r w:rsidRPr="00715501">
        <w:rPr>
          <w:szCs w:val="22"/>
        </w:rPr>
        <w:t xml:space="preserve"> for successful Participating Securities SBICs.</w:t>
      </w:r>
      <w:r w:rsidR="00357519" w:rsidRPr="00715501">
        <w:rPr>
          <w:szCs w:val="22"/>
        </w:rPr>
        <w:t xml:space="preserve"> </w:t>
      </w:r>
    </w:p>
    <w:p w14:paraId="640C3004" w14:textId="77777777" w:rsidR="00357519" w:rsidRDefault="00357519" w:rsidP="008A799A">
      <w:pPr>
        <w:rPr>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74"/>
        <w:gridCol w:w="3262"/>
      </w:tblGrid>
      <w:tr w:rsidR="00242BB6" w14:paraId="640C300F" w14:textId="77777777" w:rsidTr="008A1AD1">
        <w:tc>
          <w:tcPr>
            <w:tcW w:w="6138" w:type="dxa"/>
          </w:tcPr>
          <w:p w14:paraId="640C3005" w14:textId="77777777" w:rsidR="00242BB6" w:rsidRDefault="00242BB6" w:rsidP="00740AE3">
            <w:pPr>
              <w:jc w:val="left"/>
              <w:rPr>
                <w:sz w:val="20"/>
              </w:rPr>
            </w:pPr>
            <w:r>
              <w:rPr>
                <w:noProof/>
                <w:sz w:val="20"/>
              </w:rPr>
              <w:drawing>
                <wp:inline distT="0" distB="0" distL="0" distR="0" wp14:anchorId="640C3045" wp14:editId="640C3046">
                  <wp:extent cx="4101015" cy="27614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3">
                            <a:extLst>
                              <a:ext uri="{28A0092B-C50C-407E-A947-70E740481C1C}">
                                <a14:useLocalDpi xmlns:a14="http://schemas.microsoft.com/office/drawing/2010/main" val="0"/>
                              </a:ext>
                            </a:extLst>
                          </a:blip>
                          <a:srcRect l="3488" r="9742" b="23864"/>
                          <a:stretch/>
                        </pic:blipFill>
                        <pic:spPr bwMode="auto">
                          <a:xfrm>
                            <a:off x="0" y="0"/>
                            <a:ext cx="4102846" cy="2762721"/>
                          </a:xfrm>
                          <a:prstGeom prst="rect">
                            <a:avLst/>
                          </a:prstGeom>
                          <a:noFill/>
                          <a:ln>
                            <a:noFill/>
                          </a:ln>
                          <a:extLst>
                            <a:ext uri="{53640926-AAD7-44D8-BBD7-CCE9431645EC}">
                              <a14:shadowObscured xmlns:a14="http://schemas.microsoft.com/office/drawing/2010/main"/>
                            </a:ext>
                          </a:extLst>
                        </pic:spPr>
                      </pic:pic>
                    </a:graphicData>
                  </a:graphic>
                </wp:inline>
              </w:drawing>
            </w:r>
          </w:p>
          <w:p w14:paraId="640C3006" w14:textId="77777777" w:rsidR="00357519" w:rsidRDefault="00357519" w:rsidP="00740AE3">
            <w:pPr>
              <w:jc w:val="left"/>
              <w:rPr>
                <w:sz w:val="20"/>
              </w:rPr>
            </w:pPr>
          </w:p>
        </w:tc>
        <w:tc>
          <w:tcPr>
            <w:tcW w:w="3798" w:type="dxa"/>
          </w:tcPr>
          <w:p w14:paraId="640C3007" w14:textId="77777777" w:rsidR="00242BB6" w:rsidRPr="00242BB6" w:rsidRDefault="00242BB6" w:rsidP="00740AE3">
            <w:pPr>
              <w:jc w:val="left"/>
              <w:rPr>
                <w:sz w:val="18"/>
              </w:rPr>
            </w:pPr>
          </w:p>
          <w:p w14:paraId="640C3008" w14:textId="77777777" w:rsidR="00242BB6" w:rsidRDefault="00242BB6" w:rsidP="00242BB6">
            <w:pPr>
              <w:jc w:val="left"/>
              <w:rPr>
                <w:sz w:val="18"/>
              </w:rPr>
            </w:pPr>
            <w:r w:rsidRPr="00242BB6">
              <w:rPr>
                <w:sz w:val="18"/>
              </w:rPr>
              <w:t xml:space="preserve">*Notes:  </w:t>
            </w:r>
          </w:p>
          <w:p w14:paraId="640C3009" w14:textId="77777777" w:rsidR="00357519" w:rsidRDefault="00357519" w:rsidP="00242BB6">
            <w:pPr>
              <w:jc w:val="left"/>
              <w:rPr>
                <w:sz w:val="18"/>
              </w:rPr>
            </w:pPr>
          </w:p>
          <w:p w14:paraId="640C300A" w14:textId="77777777" w:rsidR="00357519" w:rsidRDefault="00242BB6" w:rsidP="00357519">
            <w:pPr>
              <w:pStyle w:val="ListParagraph"/>
              <w:numPr>
                <w:ilvl w:val="0"/>
                <w:numId w:val="18"/>
              </w:numPr>
              <w:ind w:left="199" w:hanging="180"/>
              <w:jc w:val="left"/>
              <w:rPr>
                <w:sz w:val="18"/>
              </w:rPr>
            </w:pPr>
            <w:r w:rsidRPr="00242BB6">
              <w:rPr>
                <w:sz w:val="18"/>
              </w:rPr>
              <w:t xml:space="preserve">Chart is based on SBA SBIC realization data, collected since 1997.  </w:t>
            </w:r>
          </w:p>
          <w:p w14:paraId="640C300B" w14:textId="77777777" w:rsidR="001D3EF2" w:rsidRDefault="001D3EF2" w:rsidP="001D3EF2">
            <w:pPr>
              <w:pStyle w:val="ListParagraph"/>
              <w:ind w:left="199"/>
              <w:jc w:val="left"/>
              <w:rPr>
                <w:sz w:val="18"/>
              </w:rPr>
            </w:pPr>
          </w:p>
          <w:p w14:paraId="640C300C" w14:textId="77777777" w:rsidR="00357519" w:rsidRDefault="00242BB6" w:rsidP="00357519">
            <w:pPr>
              <w:pStyle w:val="ListParagraph"/>
              <w:numPr>
                <w:ilvl w:val="0"/>
                <w:numId w:val="18"/>
              </w:numPr>
              <w:ind w:left="199" w:hanging="180"/>
              <w:jc w:val="left"/>
              <w:rPr>
                <w:sz w:val="18"/>
              </w:rPr>
            </w:pPr>
            <w:r w:rsidRPr="00242BB6">
              <w:rPr>
                <w:sz w:val="18"/>
              </w:rPr>
              <w:t>Only successful Participating Securities SBICs licensed between 1997 and 2004 were included in this data set.  A successful fund is defined as returning at least 70% of all capital paid into the funds (on an unleveraged basis) with sufficient value remaining to return all capital.  This included 72 SBICs with 1,229 portfolio companies.</w:t>
            </w:r>
          </w:p>
          <w:p w14:paraId="640C300D" w14:textId="77777777" w:rsidR="001D3EF2" w:rsidRDefault="001D3EF2" w:rsidP="001D3EF2">
            <w:pPr>
              <w:pStyle w:val="ListParagraph"/>
              <w:ind w:left="199"/>
              <w:jc w:val="left"/>
              <w:rPr>
                <w:sz w:val="18"/>
              </w:rPr>
            </w:pPr>
          </w:p>
          <w:p w14:paraId="640C300E" w14:textId="77777777" w:rsidR="00242BB6" w:rsidRPr="00357519" w:rsidRDefault="00242BB6" w:rsidP="00357519">
            <w:pPr>
              <w:pStyle w:val="ListParagraph"/>
              <w:numPr>
                <w:ilvl w:val="0"/>
                <w:numId w:val="18"/>
              </w:numPr>
              <w:ind w:left="199" w:hanging="180"/>
              <w:jc w:val="left"/>
              <w:rPr>
                <w:sz w:val="18"/>
              </w:rPr>
            </w:pPr>
            <w:r w:rsidRPr="00357519">
              <w:rPr>
                <w:sz w:val="18"/>
              </w:rPr>
              <w:t>Investment Multiple = Total Proceeds/Total Investment Cost</w:t>
            </w:r>
          </w:p>
        </w:tc>
      </w:tr>
    </w:tbl>
    <w:p w14:paraId="640C3010" w14:textId="77777777" w:rsidR="008F1616" w:rsidRDefault="008F1616">
      <w:pPr>
        <w:jc w:val="left"/>
        <w:rPr>
          <w:sz w:val="20"/>
        </w:rPr>
      </w:pPr>
    </w:p>
    <w:p w14:paraId="640C3011" w14:textId="3A1E754B" w:rsidR="007A2ADB" w:rsidRPr="00715501" w:rsidRDefault="00357519" w:rsidP="008A799A">
      <w:pPr>
        <w:rPr>
          <w:szCs w:val="22"/>
        </w:rPr>
      </w:pPr>
      <w:r w:rsidRPr="00715501">
        <w:rPr>
          <w:szCs w:val="22"/>
        </w:rPr>
        <w:t>As shown, over half of the investmen</w:t>
      </w:r>
      <w:r w:rsidR="00965CC9" w:rsidRPr="00715501">
        <w:rPr>
          <w:szCs w:val="22"/>
        </w:rPr>
        <w:t xml:space="preserve">ts were losses, with a small portion hitting home runs. </w:t>
      </w:r>
      <w:r w:rsidR="007A2ADB" w:rsidRPr="00715501">
        <w:rPr>
          <w:szCs w:val="22"/>
        </w:rPr>
        <w:t xml:space="preserve">It should also be noted that less than 15% of these SBICs investments produced over half of the returns. </w:t>
      </w:r>
      <w:r w:rsidR="00965CC9" w:rsidRPr="00715501">
        <w:rPr>
          <w:szCs w:val="22"/>
        </w:rPr>
        <w:t xml:space="preserve">One might expect </w:t>
      </w:r>
      <w:r w:rsidR="00A21AD4" w:rsidRPr="00715501">
        <w:rPr>
          <w:szCs w:val="22"/>
        </w:rPr>
        <w:t xml:space="preserve">similar or </w:t>
      </w:r>
      <w:r w:rsidR="00F42348" w:rsidRPr="00715501">
        <w:rPr>
          <w:szCs w:val="22"/>
        </w:rPr>
        <w:t xml:space="preserve">higher risk </w:t>
      </w:r>
      <w:r w:rsidR="00965CC9" w:rsidRPr="00715501">
        <w:rPr>
          <w:szCs w:val="22"/>
        </w:rPr>
        <w:t xml:space="preserve">results in the SBIR/STTR portfolio </w:t>
      </w:r>
      <w:r w:rsidR="00A21AD4" w:rsidRPr="00715501">
        <w:rPr>
          <w:szCs w:val="22"/>
        </w:rPr>
        <w:t>since</w:t>
      </w:r>
      <w:r w:rsidR="00407D09" w:rsidRPr="00715501">
        <w:rPr>
          <w:szCs w:val="22"/>
        </w:rPr>
        <w:t xml:space="preserve"> SBIR/STTR targets high-risk, early-stage </w:t>
      </w:r>
      <w:r w:rsidR="00F42348" w:rsidRPr="00715501">
        <w:rPr>
          <w:szCs w:val="22"/>
        </w:rPr>
        <w:t xml:space="preserve">work with potential for technological innovation.  </w:t>
      </w:r>
    </w:p>
    <w:p w14:paraId="640C3012" w14:textId="77777777" w:rsidR="007A2ADB" w:rsidRPr="00715501" w:rsidRDefault="007A2ADB" w:rsidP="008A799A">
      <w:pPr>
        <w:rPr>
          <w:szCs w:val="22"/>
        </w:rPr>
      </w:pPr>
    </w:p>
    <w:p w14:paraId="640C3013" w14:textId="77777777" w:rsidR="00B065FB" w:rsidRPr="00715501" w:rsidRDefault="00965CC9" w:rsidP="008A799A">
      <w:pPr>
        <w:rPr>
          <w:szCs w:val="22"/>
        </w:rPr>
      </w:pPr>
      <w:r w:rsidRPr="00715501">
        <w:rPr>
          <w:szCs w:val="22"/>
        </w:rPr>
        <w:t>Alternatively, the IPC could hire a consultant to establish reasonable benchmarks.</w:t>
      </w:r>
      <w:r w:rsidR="00BF24B5" w:rsidRPr="00715501">
        <w:rPr>
          <w:szCs w:val="22"/>
        </w:rPr>
        <w:t xml:space="preserve">  </w:t>
      </w:r>
    </w:p>
    <w:p w14:paraId="640C3014" w14:textId="77777777" w:rsidR="001F5DF0" w:rsidRPr="00715501" w:rsidRDefault="001F5DF0" w:rsidP="008A799A">
      <w:pPr>
        <w:rPr>
          <w:szCs w:val="22"/>
        </w:rPr>
      </w:pPr>
    </w:p>
    <w:p w14:paraId="640C3015" w14:textId="77777777" w:rsidR="00B065FB" w:rsidRDefault="00B065FB">
      <w:pPr>
        <w:jc w:val="left"/>
        <w:rPr>
          <w:sz w:val="20"/>
        </w:rPr>
      </w:pPr>
      <w:r>
        <w:rPr>
          <w:sz w:val="20"/>
        </w:rPr>
        <w:br w:type="page"/>
      </w:r>
    </w:p>
    <w:p w14:paraId="640C3016" w14:textId="77777777" w:rsidR="00B065FB" w:rsidRDefault="00B065FB" w:rsidP="007A2ADB">
      <w:pPr>
        <w:jc w:val="left"/>
        <w:rPr>
          <w:sz w:val="20"/>
        </w:rPr>
      </w:pPr>
    </w:p>
    <w:tbl>
      <w:tblPr>
        <w:tblStyle w:val="TableGrid"/>
        <w:tblW w:w="0" w:type="auto"/>
        <w:tblLook w:val="04A0" w:firstRow="1" w:lastRow="0" w:firstColumn="1" w:lastColumn="0" w:noHBand="0" w:noVBand="1"/>
      </w:tblPr>
      <w:tblGrid>
        <w:gridCol w:w="5958"/>
        <w:gridCol w:w="3978"/>
      </w:tblGrid>
      <w:tr w:rsidR="007A2ADB" w:rsidRPr="001E2C56" w14:paraId="640C3019" w14:textId="77777777" w:rsidTr="00B065FB">
        <w:trPr>
          <w:tblHeader/>
        </w:trPr>
        <w:tc>
          <w:tcPr>
            <w:tcW w:w="5958" w:type="dxa"/>
            <w:shd w:val="clear" w:color="auto" w:fill="DBE5F1" w:themeFill="accent1" w:themeFillTint="33"/>
          </w:tcPr>
          <w:p w14:paraId="640C3017" w14:textId="77777777" w:rsidR="007A2ADB" w:rsidRPr="001E2C56" w:rsidRDefault="007A2ADB" w:rsidP="002A73BA">
            <w:pPr>
              <w:jc w:val="center"/>
              <w:rPr>
                <w:b/>
                <w:sz w:val="20"/>
              </w:rPr>
            </w:pPr>
            <w:r w:rsidRPr="001E2C56">
              <w:rPr>
                <w:b/>
                <w:sz w:val="20"/>
              </w:rPr>
              <w:t xml:space="preserve">Assessment Questions </w:t>
            </w:r>
            <w:r>
              <w:rPr>
                <w:b/>
                <w:sz w:val="20"/>
              </w:rPr>
              <w:t>/ Rationale</w:t>
            </w:r>
          </w:p>
        </w:tc>
        <w:tc>
          <w:tcPr>
            <w:tcW w:w="3978" w:type="dxa"/>
            <w:shd w:val="clear" w:color="auto" w:fill="DBE5F1" w:themeFill="accent1" w:themeFillTint="33"/>
          </w:tcPr>
          <w:p w14:paraId="640C3018" w14:textId="77777777" w:rsidR="007A2ADB" w:rsidRPr="001E2C56" w:rsidRDefault="007A2ADB" w:rsidP="002A73BA">
            <w:pPr>
              <w:jc w:val="center"/>
              <w:rPr>
                <w:b/>
                <w:sz w:val="20"/>
              </w:rPr>
            </w:pPr>
            <w:r w:rsidRPr="001E2C56">
              <w:rPr>
                <w:b/>
                <w:sz w:val="20"/>
              </w:rPr>
              <w:t>Proposed Metrics</w:t>
            </w:r>
          </w:p>
        </w:tc>
      </w:tr>
      <w:tr w:rsidR="003E735E" w:rsidRPr="001E2C56" w14:paraId="640C302B" w14:textId="77777777" w:rsidTr="00B065FB">
        <w:tc>
          <w:tcPr>
            <w:tcW w:w="5958" w:type="dxa"/>
          </w:tcPr>
          <w:p w14:paraId="640C301B" w14:textId="77777777" w:rsidR="003E735E" w:rsidRPr="001E2C56" w:rsidRDefault="00FB39EB" w:rsidP="008A799A">
            <w:pPr>
              <w:pStyle w:val="ListParagraph"/>
              <w:numPr>
                <w:ilvl w:val="0"/>
                <w:numId w:val="17"/>
              </w:numPr>
              <w:ind w:left="360"/>
              <w:rPr>
                <w:sz w:val="20"/>
              </w:rPr>
            </w:pPr>
            <w:r>
              <w:rPr>
                <w:b/>
                <w:i/>
                <w:color w:val="0070C0"/>
                <w:sz w:val="20"/>
              </w:rPr>
              <w:t>Return on Investment</w:t>
            </w:r>
            <w:r w:rsidR="003E735E" w:rsidRPr="001E2C56">
              <w:rPr>
                <w:b/>
                <w:i/>
                <w:sz w:val="20"/>
              </w:rPr>
              <w:t>:</w:t>
            </w:r>
            <w:r w:rsidR="003E735E" w:rsidRPr="001E2C56">
              <w:rPr>
                <w:sz w:val="20"/>
              </w:rPr>
              <w:t xml:space="preserve"> </w:t>
            </w:r>
            <w:r w:rsidR="003E735E">
              <w:rPr>
                <w:sz w:val="20"/>
              </w:rPr>
              <w:t xml:space="preserve">  </w:t>
            </w:r>
          </w:p>
          <w:p w14:paraId="640C301C" w14:textId="77777777" w:rsidR="003E735E" w:rsidRPr="001E2C56" w:rsidRDefault="003E735E" w:rsidP="008A799A">
            <w:pPr>
              <w:pStyle w:val="ListParagraph"/>
              <w:ind w:left="360"/>
              <w:rPr>
                <w:sz w:val="20"/>
              </w:rPr>
            </w:pPr>
            <w:r w:rsidRPr="001E2C56">
              <w:rPr>
                <w:sz w:val="20"/>
              </w:rPr>
              <w:t xml:space="preserve"> </w:t>
            </w:r>
          </w:p>
          <w:p w14:paraId="640C301D" w14:textId="77777777" w:rsidR="003E735E" w:rsidRDefault="007A2ADB" w:rsidP="008A799A">
            <w:pPr>
              <w:pStyle w:val="ListParagraph"/>
              <w:numPr>
                <w:ilvl w:val="1"/>
                <w:numId w:val="17"/>
              </w:numPr>
              <w:ind w:left="720"/>
              <w:rPr>
                <w:sz w:val="20"/>
              </w:rPr>
            </w:pPr>
            <w:r>
              <w:rPr>
                <w:sz w:val="20"/>
              </w:rPr>
              <w:t xml:space="preserve">What is the “return on investment” for SBIR and STTR investments?   </w:t>
            </w:r>
          </w:p>
          <w:p w14:paraId="640C301E" w14:textId="77777777" w:rsidR="003E735E" w:rsidRDefault="003E735E" w:rsidP="008A799A">
            <w:pPr>
              <w:pStyle w:val="ListParagraph"/>
              <w:rPr>
                <w:sz w:val="20"/>
              </w:rPr>
            </w:pPr>
          </w:p>
          <w:p w14:paraId="640C301F" w14:textId="77777777" w:rsidR="003E735E" w:rsidRDefault="007A2ADB" w:rsidP="008A799A">
            <w:pPr>
              <w:pStyle w:val="ListParagraph"/>
              <w:numPr>
                <w:ilvl w:val="1"/>
                <w:numId w:val="17"/>
              </w:numPr>
              <w:ind w:left="720"/>
              <w:rPr>
                <w:sz w:val="20"/>
              </w:rPr>
            </w:pPr>
            <w:r>
              <w:rPr>
                <w:sz w:val="20"/>
              </w:rPr>
              <w:t>Do venture backed companies have a higher “return on investment” than SBIR and STTR investments?</w:t>
            </w:r>
          </w:p>
          <w:p w14:paraId="640C3020" w14:textId="77777777" w:rsidR="003E735E" w:rsidRDefault="003E735E" w:rsidP="008A799A">
            <w:pPr>
              <w:rPr>
                <w:sz w:val="20"/>
              </w:rPr>
            </w:pPr>
          </w:p>
          <w:p w14:paraId="640C3021" w14:textId="0C89BAFE" w:rsidR="00BF24B5" w:rsidRDefault="00BF24B5" w:rsidP="008A799A">
            <w:pPr>
              <w:rPr>
                <w:sz w:val="20"/>
              </w:rPr>
            </w:pPr>
            <w:r>
              <w:rPr>
                <w:sz w:val="20"/>
              </w:rPr>
              <w:t>Rationale: Although SBIR and STTR “returns” are difficult to measure, sales</w:t>
            </w:r>
            <w:r w:rsidR="002C2863">
              <w:rPr>
                <w:sz w:val="20"/>
              </w:rPr>
              <w:t>, number of patents filed and/or received,</w:t>
            </w:r>
            <w:r>
              <w:rPr>
                <w:sz w:val="20"/>
              </w:rPr>
              <w:t xml:space="preserve">and investments since the awards </w:t>
            </w:r>
            <w:r w:rsidR="002C2863">
              <w:rPr>
                <w:sz w:val="20"/>
              </w:rPr>
              <w:t xml:space="preserve">can </w:t>
            </w:r>
            <w:r>
              <w:rPr>
                <w:sz w:val="20"/>
              </w:rPr>
              <w:t xml:space="preserve">provide a </w:t>
            </w:r>
            <w:r w:rsidR="00F42348">
              <w:rPr>
                <w:sz w:val="20"/>
              </w:rPr>
              <w:t xml:space="preserve">useful </w:t>
            </w:r>
            <w:r>
              <w:rPr>
                <w:sz w:val="20"/>
              </w:rPr>
              <w:t xml:space="preserve">measurement. It is important to try to capture this information in order to assess the </w:t>
            </w:r>
            <w:r w:rsidR="00F42348">
              <w:rPr>
                <w:sz w:val="20"/>
              </w:rPr>
              <w:t xml:space="preserve">effectiveness </w:t>
            </w:r>
            <w:r>
              <w:rPr>
                <w:sz w:val="20"/>
              </w:rPr>
              <w:t>of the program. This may also provide an indicator of how venture backed companies perform relative to non-venture backed companies.</w:t>
            </w:r>
          </w:p>
          <w:p w14:paraId="640C3022" w14:textId="77777777" w:rsidR="00B065FB" w:rsidRPr="003E735E" w:rsidRDefault="00B065FB" w:rsidP="008A799A">
            <w:pPr>
              <w:rPr>
                <w:sz w:val="20"/>
              </w:rPr>
            </w:pPr>
          </w:p>
        </w:tc>
        <w:tc>
          <w:tcPr>
            <w:tcW w:w="3978" w:type="dxa"/>
          </w:tcPr>
          <w:p w14:paraId="640C3023" w14:textId="77777777" w:rsidR="003E735E" w:rsidRPr="00CD5F29" w:rsidRDefault="003E735E" w:rsidP="008A799A">
            <w:pPr>
              <w:rPr>
                <w:sz w:val="20"/>
              </w:rPr>
            </w:pPr>
          </w:p>
          <w:p w14:paraId="640C3026" w14:textId="77777777" w:rsidR="003E735E" w:rsidRPr="001E2C56" w:rsidRDefault="007A2ADB" w:rsidP="008A799A">
            <w:pPr>
              <w:pStyle w:val="ListParagraph"/>
              <w:numPr>
                <w:ilvl w:val="0"/>
                <w:numId w:val="13"/>
              </w:numPr>
              <w:ind w:left="342"/>
              <w:rPr>
                <w:sz w:val="20"/>
              </w:rPr>
            </w:pPr>
            <w:r>
              <w:rPr>
                <w:sz w:val="20"/>
              </w:rPr>
              <w:t>Return on Investment = (Sales and investments since the Phase II award – SBIR Award Amounts)/SBIR Award Amounts</w:t>
            </w:r>
          </w:p>
          <w:p w14:paraId="640C3027" w14:textId="77777777" w:rsidR="003E735E" w:rsidRPr="001E2C56" w:rsidRDefault="003E735E" w:rsidP="008A799A">
            <w:pPr>
              <w:pStyle w:val="ListParagraph"/>
              <w:ind w:left="342"/>
              <w:rPr>
                <w:sz w:val="20"/>
              </w:rPr>
            </w:pPr>
          </w:p>
          <w:p w14:paraId="640C3028" w14:textId="6ED31DAE" w:rsidR="003E735E" w:rsidRPr="001E2C56" w:rsidRDefault="007A2ADB" w:rsidP="008A799A">
            <w:pPr>
              <w:pStyle w:val="ListParagraph"/>
              <w:numPr>
                <w:ilvl w:val="0"/>
                <w:numId w:val="13"/>
              </w:numPr>
              <w:ind w:left="342"/>
              <w:rPr>
                <w:sz w:val="20"/>
              </w:rPr>
            </w:pPr>
            <w:r>
              <w:rPr>
                <w:sz w:val="20"/>
              </w:rPr>
              <w:t xml:space="preserve">Compare venture backed companies </w:t>
            </w:r>
            <w:r w:rsidR="008A799A">
              <w:rPr>
                <w:sz w:val="20"/>
              </w:rPr>
              <w:t>to non-venture backed companies</w:t>
            </w:r>
          </w:p>
          <w:p w14:paraId="640C3029" w14:textId="77777777" w:rsidR="003E735E" w:rsidRDefault="003E735E" w:rsidP="008A799A">
            <w:pPr>
              <w:rPr>
                <w:sz w:val="20"/>
              </w:rPr>
            </w:pPr>
          </w:p>
          <w:p w14:paraId="640C302A" w14:textId="4645F788" w:rsidR="00BF24B5" w:rsidRPr="008A799A" w:rsidRDefault="00BF24B5" w:rsidP="008A799A">
            <w:pPr>
              <w:pStyle w:val="ListParagraph"/>
              <w:numPr>
                <w:ilvl w:val="0"/>
                <w:numId w:val="13"/>
              </w:numPr>
              <w:ind w:left="342"/>
              <w:rPr>
                <w:sz w:val="20"/>
              </w:rPr>
            </w:pPr>
            <w:r w:rsidRPr="008A799A">
              <w:rPr>
                <w:sz w:val="20"/>
              </w:rPr>
              <w:t>Similar to the commercialization benchmarks this may be best captured by the “vintage year” of the</w:t>
            </w:r>
            <w:r w:rsidR="008A799A" w:rsidRPr="008A799A">
              <w:rPr>
                <w:sz w:val="20"/>
              </w:rPr>
              <w:t xml:space="preserve"> Phase I or Phase II investment</w:t>
            </w:r>
          </w:p>
        </w:tc>
      </w:tr>
      <w:tr w:rsidR="003E735E" w:rsidRPr="001E2C56" w14:paraId="640C3037" w14:textId="77777777" w:rsidTr="00B065FB">
        <w:tc>
          <w:tcPr>
            <w:tcW w:w="5958" w:type="dxa"/>
          </w:tcPr>
          <w:p w14:paraId="640C302C" w14:textId="77777777" w:rsidR="00B065FB" w:rsidRPr="00B065FB" w:rsidRDefault="00B065FB" w:rsidP="008A799A">
            <w:pPr>
              <w:pStyle w:val="ListParagraph"/>
              <w:ind w:left="360"/>
              <w:rPr>
                <w:sz w:val="20"/>
              </w:rPr>
            </w:pPr>
          </w:p>
          <w:p w14:paraId="640C302D" w14:textId="77777777" w:rsidR="003E735E" w:rsidRDefault="008F1616" w:rsidP="008A799A">
            <w:pPr>
              <w:pStyle w:val="ListParagraph"/>
              <w:numPr>
                <w:ilvl w:val="0"/>
                <w:numId w:val="17"/>
              </w:numPr>
              <w:ind w:left="360"/>
              <w:rPr>
                <w:sz w:val="20"/>
              </w:rPr>
            </w:pPr>
            <w:r>
              <w:rPr>
                <w:b/>
                <w:i/>
                <w:color w:val="0070C0"/>
                <w:sz w:val="20"/>
              </w:rPr>
              <w:t>Jobs</w:t>
            </w:r>
            <w:r w:rsidR="003E735E" w:rsidRPr="001E2C56">
              <w:rPr>
                <w:b/>
                <w:i/>
                <w:sz w:val="20"/>
              </w:rPr>
              <w:t>:</w:t>
            </w:r>
            <w:r w:rsidR="003E735E" w:rsidRPr="001E2C56">
              <w:rPr>
                <w:sz w:val="20"/>
              </w:rPr>
              <w:t xml:space="preserve">  </w:t>
            </w:r>
          </w:p>
          <w:p w14:paraId="640C302E" w14:textId="77777777" w:rsidR="003E735E" w:rsidRPr="001E2C56" w:rsidRDefault="003E735E" w:rsidP="008A799A">
            <w:pPr>
              <w:pStyle w:val="ListParagraph"/>
              <w:ind w:left="360"/>
              <w:rPr>
                <w:sz w:val="20"/>
              </w:rPr>
            </w:pPr>
          </w:p>
          <w:p w14:paraId="640C302F" w14:textId="77777777" w:rsidR="003E735E" w:rsidRDefault="00BF24B5" w:rsidP="008A799A">
            <w:pPr>
              <w:pStyle w:val="ListParagraph"/>
              <w:numPr>
                <w:ilvl w:val="1"/>
                <w:numId w:val="17"/>
              </w:numPr>
              <w:ind w:left="720"/>
              <w:rPr>
                <w:sz w:val="20"/>
              </w:rPr>
            </w:pPr>
            <w:r>
              <w:rPr>
                <w:sz w:val="20"/>
              </w:rPr>
              <w:t>How many jobs are created or sustained by the technology?</w:t>
            </w:r>
          </w:p>
          <w:p w14:paraId="640C3030" w14:textId="77777777" w:rsidR="00BF24B5" w:rsidRDefault="00BF24B5" w:rsidP="008A799A">
            <w:pPr>
              <w:rPr>
                <w:sz w:val="20"/>
              </w:rPr>
            </w:pPr>
          </w:p>
          <w:p w14:paraId="640C3031" w14:textId="5503D5C3" w:rsidR="00977162" w:rsidRDefault="00BF24B5" w:rsidP="008A799A">
            <w:pPr>
              <w:rPr>
                <w:sz w:val="20"/>
              </w:rPr>
            </w:pPr>
            <w:r>
              <w:rPr>
                <w:sz w:val="20"/>
              </w:rPr>
              <w:t>Rationale:</w:t>
            </w:r>
            <w:r w:rsidR="00F26DB7">
              <w:rPr>
                <w:sz w:val="20"/>
              </w:rPr>
              <w:t xml:space="preserve"> As a </w:t>
            </w:r>
            <w:r w:rsidR="004E0A85">
              <w:rPr>
                <w:sz w:val="20"/>
              </w:rPr>
              <w:t>F</w:t>
            </w:r>
            <w:r w:rsidR="00F26DB7">
              <w:rPr>
                <w:sz w:val="20"/>
              </w:rPr>
              <w:t>ederal program designed to improve the economy, jobs are a</w:t>
            </w:r>
            <w:r w:rsidR="00F42348">
              <w:rPr>
                <w:sz w:val="20"/>
              </w:rPr>
              <w:t xml:space="preserve"> relevant</w:t>
            </w:r>
            <w:r w:rsidR="00F26DB7">
              <w:rPr>
                <w:sz w:val="20"/>
              </w:rPr>
              <w:t xml:space="preserve"> result. </w:t>
            </w:r>
            <w:r w:rsidR="00977162">
              <w:rPr>
                <w:sz w:val="20"/>
              </w:rPr>
              <w:t>However, jobs are historically difficult to track and this metric may need to be reassessed based on</w:t>
            </w:r>
            <w:r w:rsidR="004E0A85">
              <w:rPr>
                <w:sz w:val="20"/>
              </w:rPr>
              <w:t xml:space="preserve"> the</w:t>
            </w:r>
            <w:r w:rsidR="00977162">
              <w:rPr>
                <w:sz w:val="20"/>
              </w:rPr>
              <w:t xml:space="preserve"> availability of </w:t>
            </w:r>
            <w:r w:rsidR="004E0A85">
              <w:rPr>
                <w:sz w:val="20"/>
              </w:rPr>
              <w:t xml:space="preserve">the </w:t>
            </w:r>
            <w:r w:rsidR="00977162">
              <w:rPr>
                <w:sz w:val="20"/>
              </w:rPr>
              <w:t>data.</w:t>
            </w:r>
          </w:p>
          <w:p w14:paraId="640C3032" w14:textId="77777777" w:rsidR="00B065FB" w:rsidRPr="00B065FB" w:rsidRDefault="00B065FB" w:rsidP="008A799A">
            <w:pPr>
              <w:rPr>
                <w:sz w:val="20"/>
              </w:rPr>
            </w:pPr>
          </w:p>
        </w:tc>
        <w:tc>
          <w:tcPr>
            <w:tcW w:w="3978" w:type="dxa"/>
          </w:tcPr>
          <w:p w14:paraId="640C3033" w14:textId="77777777" w:rsidR="003E735E" w:rsidRDefault="003E735E" w:rsidP="008A799A">
            <w:pPr>
              <w:rPr>
                <w:sz w:val="20"/>
              </w:rPr>
            </w:pPr>
          </w:p>
          <w:p w14:paraId="640C3034" w14:textId="77777777" w:rsidR="00B065FB" w:rsidRDefault="00B065FB" w:rsidP="008A799A">
            <w:pPr>
              <w:rPr>
                <w:sz w:val="20"/>
              </w:rPr>
            </w:pPr>
          </w:p>
          <w:p w14:paraId="640C3035" w14:textId="77777777" w:rsidR="003E735E" w:rsidRPr="003F25AA" w:rsidRDefault="003E735E" w:rsidP="008A799A">
            <w:pPr>
              <w:rPr>
                <w:sz w:val="20"/>
              </w:rPr>
            </w:pPr>
          </w:p>
          <w:p w14:paraId="640C3036" w14:textId="542C915A" w:rsidR="003E735E" w:rsidRPr="008A799A" w:rsidRDefault="00B065FB" w:rsidP="008A799A">
            <w:pPr>
              <w:pStyle w:val="ListParagraph"/>
              <w:numPr>
                <w:ilvl w:val="0"/>
                <w:numId w:val="24"/>
              </w:numPr>
              <w:ind w:left="342"/>
              <w:rPr>
                <w:sz w:val="20"/>
              </w:rPr>
            </w:pPr>
            <w:r w:rsidRPr="008A799A">
              <w:rPr>
                <w:sz w:val="20"/>
              </w:rPr>
              <w:t xml:space="preserve">The number of jobs associated with the technology should be </w:t>
            </w:r>
            <w:r w:rsidR="004E0A85" w:rsidRPr="008A799A">
              <w:rPr>
                <w:sz w:val="20"/>
              </w:rPr>
              <w:t>assessed</w:t>
            </w:r>
            <w:r w:rsidRPr="008A799A">
              <w:rPr>
                <w:sz w:val="20"/>
              </w:rPr>
              <w:t>to determine</w:t>
            </w:r>
            <w:r w:rsidR="004E0A85" w:rsidRPr="008A799A">
              <w:rPr>
                <w:sz w:val="20"/>
              </w:rPr>
              <w:t xml:space="preserve"> the number of</w:t>
            </w:r>
            <w:r w:rsidRPr="008A799A">
              <w:rPr>
                <w:sz w:val="20"/>
              </w:rPr>
              <w:t xml:space="preserve"> jobs </w:t>
            </w:r>
            <w:r w:rsidR="008A799A">
              <w:rPr>
                <w:sz w:val="20"/>
              </w:rPr>
              <w:t>sustained and created</w:t>
            </w:r>
          </w:p>
        </w:tc>
      </w:tr>
    </w:tbl>
    <w:p w14:paraId="640C3038" w14:textId="77777777" w:rsidR="003E735E" w:rsidRDefault="003E735E" w:rsidP="006856DA"/>
    <w:sectPr w:rsidR="003E735E" w:rsidSect="008240C7">
      <w:pgSz w:w="12240" w:h="15840"/>
      <w:pgMar w:top="1440" w:right="1080" w:bottom="1440" w:left="1440" w:header="720" w:footer="6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FE88D" w14:textId="77777777" w:rsidR="00120712" w:rsidRDefault="00120712" w:rsidP="000D3C84">
      <w:r>
        <w:separator/>
      </w:r>
    </w:p>
    <w:p w14:paraId="19A93F18" w14:textId="77777777" w:rsidR="00120712" w:rsidRDefault="00120712" w:rsidP="000D3C84"/>
    <w:p w14:paraId="0CE63558" w14:textId="77777777" w:rsidR="00120712" w:rsidRDefault="00120712" w:rsidP="000D3C84"/>
  </w:endnote>
  <w:endnote w:type="continuationSeparator" w:id="0">
    <w:p w14:paraId="6A43702A" w14:textId="77777777" w:rsidR="00120712" w:rsidRDefault="00120712" w:rsidP="000D3C84">
      <w:r>
        <w:continuationSeparator/>
      </w:r>
    </w:p>
    <w:p w14:paraId="3832E847" w14:textId="77777777" w:rsidR="00120712" w:rsidRDefault="00120712" w:rsidP="000D3C84"/>
    <w:p w14:paraId="1405D0A6" w14:textId="77777777" w:rsidR="00120712" w:rsidRDefault="00120712" w:rsidP="000D3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576494"/>
      <w:docPartObj>
        <w:docPartGallery w:val="Page Numbers (Bottom of Page)"/>
        <w:docPartUnique/>
      </w:docPartObj>
    </w:sdtPr>
    <w:sdtEndPr>
      <w:rPr>
        <w:color w:val="808080" w:themeColor="background1" w:themeShade="80"/>
        <w:spacing w:val="60"/>
      </w:rPr>
    </w:sdtEndPr>
    <w:sdtContent>
      <w:p w14:paraId="640C307F" w14:textId="77777777" w:rsidR="002C2863" w:rsidRDefault="002C2863">
        <w:pPr>
          <w:pStyle w:val="Footer"/>
          <w:pBdr>
            <w:top w:val="single" w:sz="4" w:space="1" w:color="D9D9D9" w:themeColor="background1" w:themeShade="D9"/>
          </w:pBdr>
          <w:jc w:val="right"/>
        </w:pPr>
      </w:p>
      <w:p w14:paraId="640C3080" w14:textId="77777777" w:rsidR="002C2863" w:rsidRDefault="002C2863" w:rsidP="00974AC2">
        <w:pPr>
          <w:pStyle w:val="Footer"/>
          <w:pBdr>
            <w:top w:val="single" w:sz="4" w:space="1" w:color="D9D9D9" w:themeColor="background1" w:themeShade="D9"/>
          </w:pBdr>
          <w:tabs>
            <w:tab w:val="clear" w:pos="8640"/>
            <w:tab w:val="right" w:pos="9990"/>
          </w:tabs>
          <w:jc w:val="left"/>
        </w:pPr>
        <w:r>
          <w:tab/>
        </w:r>
        <w:r>
          <w:tab/>
        </w:r>
        <w:r w:rsidRPr="00715501">
          <w:fldChar w:fldCharType="begin"/>
        </w:r>
        <w:r w:rsidRPr="00715501">
          <w:instrText xml:space="preserve"> PAGE    \* MERGEFORMAT </w:instrText>
        </w:r>
        <w:r w:rsidRPr="00715501">
          <w:fldChar w:fldCharType="separate"/>
        </w:r>
        <w:r w:rsidR="00570E3F">
          <w:rPr>
            <w:noProof/>
          </w:rPr>
          <w:t>1</w:t>
        </w:r>
        <w:r w:rsidRPr="00715501">
          <w:fldChar w:fldCharType="end"/>
        </w:r>
        <w:r w:rsidRPr="00715501">
          <w:t xml:space="preserve"> </w:t>
        </w:r>
        <w:r>
          <w:t xml:space="preserve">| </w:t>
        </w:r>
        <w:r>
          <w:rPr>
            <w:color w:val="808080" w:themeColor="background1" w:themeShade="80"/>
            <w:spacing w:val="60"/>
          </w:rPr>
          <w:t>Page</w:t>
        </w:r>
      </w:p>
    </w:sdtContent>
  </w:sdt>
  <w:p w14:paraId="640C3081" w14:textId="77777777" w:rsidR="002C2863" w:rsidRDefault="002C2863" w:rsidP="00877DB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CAF77" w14:textId="77777777" w:rsidR="00120712" w:rsidRDefault="00120712" w:rsidP="000D3C84">
      <w:r>
        <w:separator/>
      </w:r>
    </w:p>
    <w:p w14:paraId="59945074" w14:textId="77777777" w:rsidR="00120712" w:rsidRDefault="00120712" w:rsidP="000D3C84"/>
    <w:p w14:paraId="29DF6575" w14:textId="77777777" w:rsidR="00120712" w:rsidRDefault="00120712" w:rsidP="000D3C84"/>
  </w:footnote>
  <w:footnote w:type="continuationSeparator" w:id="0">
    <w:p w14:paraId="1E0926C7" w14:textId="77777777" w:rsidR="00120712" w:rsidRDefault="00120712" w:rsidP="000D3C84">
      <w:r>
        <w:continuationSeparator/>
      </w:r>
    </w:p>
    <w:p w14:paraId="60215484" w14:textId="77777777" w:rsidR="00120712" w:rsidRDefault="00120712" w:rsidP="000D3C84"/>
    <w:p w14:paraId="79B43CF1" w14:textId="77777777" w:rsidR="00120712" w:rsidRDefault="00120712" w:rsidP="000D3C84"/>
  </w:footnote>
  <w:footnote w:id="1">
    <w:p w14:paraId="4F1BB33B" w14:textId="70C02E7F" w:rsidR="002C2863" w:rsidRPr="003117F4" w:rsidRDefault="002C2863">
      <w:pPr>
        <w:pStyle w:val="FootnoteText"/>
        <w:rPr>
          <w:szCs w:val="18"/>
        </w:rPr>
      </w:pPr>
      <w:r w:rsidRPr="003117F4">
        <w:rPr>
          <w:rStyle w:val="FootnoteReference"/>
          <w:szCs w:val="18"/>
        </w:rPr>
        <w:footnoteRef/>
      </w:r>
      <w:r w:rsidRPr="003117F4">
        <w:rPr>
          <w:szCs w:val="18"/>
        </w:rPr>
        <w:t xml:space="preserve"> </w:t>
      </w:r>
      <w:hyperlink r:id="rId1" w:history="1">
        <w:r w:rsidR="005A48DA" w:rsidRPr="003117F4">
          <w:rPr>
            <w:rStyle w:val="Hyperlink"/>
            <w:noProof w:val="0"/>
            <w:szCs w:val="18"/>
          </w:rPr>
          <w:t>http://www.gpo.gov/fdsys/pkg/PLAW-112publ81/pdf/PLAW-112publ81.pdf</w:t>
        </w:r>
      </w:hyperlink>
      <w:r w:rsidR="005A48DA" w:rsidRPr="003117F4">
        <w:rPr>
          <w:szCs w:val="18"/>
        </w:rPr>
        <w:t xml:space="preserve"> </w:t>
      </w:r>
    </w:p>
  </w:footnote>
  <w:footnote w:id="2">
    <w:p w14:paraId="0BDF101C" w14:textId="154D2C3F" w:rsidR="00F71B13" w:rsidRDefault="00F71B13">
      <w:pPr>
        <w:pStyle w:val="FootnoteText"/>
      </w:pPr>
      <w:r w:rsidRPr="003117F4">
        <w:rPr>
          <w:rStyle w:val="FootnoteReference"/>
          <w:szCs w:val="18"/>
        </w:rPr>
        <w:footnoteRef/>
      </w:r>
      <w:r w:rsidRPr="003117F4">
        <w:rPr>
          <w:szCs w:val="18"/>
        </w:rPr>
        <w:t xml:space="preserve"> 15 U.S.C. § 638(a).</w:t>
      </w:r>
    </w:p>
  </w:footnote>
  <w:footnote w:id="3">
    <w:p w14:paraId="3B27A009" w14:textId="2F163EA8" w:rsidR="007218FF" w:rsidRPr="003117F4" w:rsidRDefault="007218FF">
      <w:pPr>
        <w:pStyle w:val="FootnoteText"/>
        <w:rPr>
          <w:szCs w:val="18"/>
        </w:rPr>
      </w:pPr>
      <w:r w:rsidRPr="003117F4">
        <w:rPr>
          <w:rStyle w:val="FootnoteReference"/>
          <w:szCs w:val="18"/>
        </w:rPr>
        <w:footnoteRef/>
      </w:r>
      <w:r w:rsidRPr="003117F4">
        <w:rPr>
          <w:szCs w:val="18"/>
        </w:rPr>
        <w:t xml:space="preserve"> 15 U.S.C. § 638(e)(10).</w:t>
      </w:r>
    </w:p>
  </w:footnote>
  <w:footnote w:id="4">
    <w:p w14:paraId="4D97EA23" w14:textId="239EE9BB" w:rsidR="002C2863" w:rsidRDefault="002C2863">
      <w:pPr>
        <w:pStyle w:val="FootnoteText"/>
      </w:pPr>
      <w:r>
        <w:rPr>
          <w:rStyle w:val="FootnoteReference"/>
        </w:rPr>
        <w:footnoteRef/>
      </w:r>
      <w:r>
        <w:t xml:space="preserve"> 13 CFR section 124 (i.e., 8(a)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C307D" w14:textId="77777777" w:rsidR="002C2863" w:rsidRDefault="002C2863" w:rsidP="00BB535E">
    <w:pPr>
      <w:pStyle w:val="Header"/>
      <w:jc w:val="right"/>
      <w:rPr>
        <w:b/>
        <w:i/>
        <w:color w:val="0070C0"/>
        <w:sz w:val="20"/>
      </w:rPr>
    </w:pPr>
    <w:r w:rsidRPr="00AD3DE1">
      <w:rPr>
        <w:b/>
        <w:i/>
        <w:color w:val="0070C0"/>
        <w:sz w:val="20"/>
      </w:rPr>
      <w:t xml:space="preserve">SBIR/STTR Interagency Policy Committee Report to Congress:  </w:t>
    </w:r>
  </w:p>
  <w:p w14:paraId="640C307E" w14:textId="77777777" w:rsidR="002C2863" w:rsidRPr="002C11D0" w:rsidRDefault="002C2863" w:rsidP="00BB535E">
    <w:pPr>
      <w:pStyle w:val="Header"/>
      <w:jc w:val="right"/>
      <w:rPr>
        <w:b/>
        <w:i/>
        <w:color w:val="0070C0"/>
        <w:sz w:val="20"/>
      </w:rPr>
    </w:pPr>
    <w:r>
      <w:rPr>
        <w:b/>
        <w:i/>
        <w:color w:val="0070C0"/>
        <w:sz w:val="20"/>
      </w:rPr>
      <w:t>Standard Evaluation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389"/>
    <w:multiLevelType w:val="hybridMultilevel"/>
    <w:tmpl w:val="0A6A0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61FA3"/>
    <w:multiLevelType w:val="hybridMultilevel"/>
    <w:tmpl w:val="AC02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A686E"/>
    <w:multiLevelType w:val="hybridMultilevel"/>
    <w:tmpl w:val="2D4E77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1EC92DC7"/>
    <w:multiLevelType w:val="hybridMultilevel"/>
    <w:tmpl w:val="E9CE3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A764F"/>
    <w:multiLevelType w:val="hybridMultilevel"/>
    <w:tmpl w:val="1DB2B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D07A20"/>
    <w:multiLevelType w:val="hybridMultilevel"/>
    <w:tmpl w:val="AFE67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F0263"/>
    <w:multiLevelType w:val="hybridMultilevel"/>
    <w:tmpl w:val="99FA8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5A0B89"/>
    <w:multiLevelType w:val="hybridMultilevel"/>
    <w:tmpl w:val="80549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192E9D"/>
    <w:multiLevelType w:val="hybridMultilevel"/>
    <w:tmpl w:val="D36A0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2A24CE"/>
    <w:multiLevelType w:val="multilevel"/>
    <w:tmpl w:val="A3D0D790"/>
    <w:lvl w:ilvl="0">
      <w:start w:val="1"/>
      <w:numFmt w:val="decimal"/>
      <w:pStyle w:val="Heading1"/>
      <w:lvlText w:val="%1."/>
      <w:lvlJc w:val="left"/>
      <w:pPr>
        <w:tabs>
          <w:tab w:val="num" w:pos="1980"/>
        </w:tabs>
        <w:ind w:left="1980" w:hanging="360"/>
      </w:pPr>
      <w:rPr>
        <w:rFonts w:hint="default"/>
      </w:rPr>
    </w:lvl>
    <w:lvl w:ilvl="1">
      <w:start w:val="1"/>
      <w:numFmt w:val="lowerLetter"/>
      <w:pStyle w:val="Heading2"/>
      <w:lvlText w:val="%2."/>
      <w:lvlJc w:val="left"/>
      <w:pPr>
        <w:tabs>
          <w:tab w:val="num" w:pos="1080"/>
        </w:tabs>
        <w:ind w:left="792" w:hanging="792"/>
      </w:pPr>
      <w:rPr>
        <w:rFonts w:hint="default"/>
      </w:rPr>
    </w:lvl>
    <w:lvl w:ilvl="2">
      <w:start w:val="1"/>
      <w:numFmt w:val="decimal"/>
      <w:lvlText w:val="%1.%2.%3."/>
      <w:lvlJc w:val="left"/>
      <w:pPr>
        <w:tabs>
          <w:tab w:val="num" w:pos="180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38501B18"/>
    <w:multiLevelType w:val="hybridMultilevel"/>
    <w:tmpl w:val="4D26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C5455"/>
    <w:multiLevelType w:val="multilevel"/>
    <w:tmpl w:val="F46685BA"/>
    <w:styleLink w:val="Outline"/>
    <w:lvl w:ilvl="0">
      <w:start w:val="1"/>
      <w:numFmt w:val="decimal"/>
      <w:lvlText w:val="%1."/>
      <w:lvlJc w:val="left"/>
      <w:pPr>
        <w:ind w:left="504" w:hanging="504"/>
      </w:pPr>
      <w:rPr>
        <w:rFonts w:ascii="Times New Roman" w:hAnsi="Times New Roman" w:hint="default"/>
        <w:b/>
        <w:sz w:val="36"/>
      </w:rPr>
    </w:lvl>
    <w:lvl w:ilvl="1">
      <w:start w:val="1"/>
      <w:numFmt w:val="upperLetter"/>
      <w:lvlText w:val="%2."/>
      <w:lvlJc w:val="left"/>
      <w:pPr>
        <w:ind w:left="637" w:hanging="547"/>
      </w:pPr>
      <w:rPr>
        <w:rFonts w:ascii="Times New Roman" w:hAnsi="Times New Roman" w:hint="default"/>
        <w:b/>
        <w:sz w:val="28"/>
      </w:rPr>
    </w:lvl>
    <w:lvl w:ilvl="2">
      <w:start w:val="1"/>
      <w:numFmt w:val="decimal"/>
      <w:lvlText w:val="%3."/>
      <w:lvlJc w:val="left"/>
      <w:pPr>
        <w:ind w:left="547" w:hanging="547"/>
      </w:pPr>
      <w:rPr>
        <w:rFonts w:ascii="Times New Roman" w:hAnsi="Times New Roman" w:hint="default"/>
        <w:b/>
        <w:sz w:val="24"/>
      </w:rPr>
    </w:lvl>
    <w:lvl w:ilvl="3">
      <w:start w:val="1"/>
      <w:numFmt w:val="lowerLetter"/>
      <w:lvlText w:val="%4."/>
      <w:lvlJc w:val="left"/>
      <w:pPr>
        <w:ind w:left="864" w:hanging="317"/>
      </w:pPr>
      <w:rPr>
        <w:rFonts w:ascii="Times New Roman" w:hAnsi="Times New Roman" w:hint="default"/>
        <w:b/>
        <w:sz w:val="24"/>
      </w:rPr>
    </w:lvl>
    <w:lvl w:ilvl="4">
      <w:start w:val="1"/>
      <w:numFmt w:val="decimal"/>
      <w:lvlText w:val="%5)"/>
      <w:lvlJc w:val="left"/>
      <w:pPr>
        <w:ind w:left="864" w:hanging="317"/>
      </w:pPr>
      <w:rPr>
        <w:rFonts w:ascii="Times New Roman" w:hAnsi="Times New Roman" w:hint="default"/>
        <w:b/>
        <w:sz w:val="24"/>
      </w:rPr>
    </w:lvl>
    <w:lvl w:ilvl="5">
      <w:start w:val="1"/>
      <w:numFmt w:val="upperLetter"/>
      <w:suff w:val="nothing"/>
      <w:lvlText w:val="Appendix %6"/>
      <w:lvlJc w:val="left"/>
      <w:pPr>
        <w:ind w:left="3474" w:hanging="504"/>
      </w:pPr>
      <w:rPr>
        <w:rFonts w:ascii="Times New Roman" w:hAnsi="Times New Roman" w:hint="default"/>
        <w:b/>
        <w:sz w:val="36"/>
      </w:rPr>
    </w:lvl>
    <w:lvl w:ilvl="6">
      <w:start w:val="1"/>
      <w:numFmt w:val="upperLetter"/>
      <w:lvlText w:val="%7."/>
      <w:lvlJc w:val="left"/>
      <w:pPr>
        <w:ind w:left="547" w:hanging="547"/>
      </w:pPr>
      <w:rPr>
        <w:rFonts w:ascii="Times New Roman" w:hAnsi="Times New Roman" w:hint="default"/>
        <w:b/>
        <w:sz w:val="24"/>
      </w:rPr>
    </w:lvl>
    <w:lvl w:ilvl="7">
      <w:start w:val="1"/>
      <w:numFmt w:val="decimal"/>
      <w:lvlText w:val="%8."/>
      <w:lvlJc w:val="left"/>
      <w:pPr>
        <w:tabs>
          <w:tab w:val="num" w:pos="547"/>
        </w:tabs>
        <w:ind w:left="547" w:hanging="547"/>
      </w:pPr>
      <w:rPr>
        <w:rFonts w:ascii="Times New Roman" w:hAnsi="Times New Roman" w:hint="default"/>
        <w:b/>
        <w:i w:val="0"/>
        <w:sz w:val="24"/>
      </w:rPr>
    </w:lvl>
    <w:lvl w:ilvl="8">
      <w:start w:val="1"/>
      <w:numFmt w:val="lowerLetter"/>
      <w:lvlText w:val="%9."/>
      <w:lvlJc w:val="left"/>
      <w:pPr>
        <w:ind w:left="864" w:hanging="317"/>
      </w:pPr>
      <w:rPr>
        <w:rFonts w:ascii="Times New Roman" w:hAnsi="Times New Roman" w:hint="default"/>
        <w:b/>
        <w:i w:val="0"/>
        <w:sz w:val="24"/>
      </w:rPr>
    </w:lvl>
  </w:abstractNum>
  <w:abstractNum w:abstractNumId="12">
    <w:nsid w:val="3B8E691E"/>
    <w:multiLevelType w:val="hybridMultilevel"/>
    <w:tmpl w:val="0966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9604A"/>
    <w:multiLevelType w:val="hybridMultilevel"/>
    <w:tmpl w:val="0C9E5C60"/>
    <w:lvl w:ilvl="0" w:tplc="48A09E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CB0124"/>
    <w:multiLevelType w:val="hybridMultilevel"/>
    <w:tmpl w:val="D43C9E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5F79DE"/>
    <w:multiLevelType w:val="hybridMultilevel"/>
    <w:tmpl w:val="EAF42A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A6DCE"/>
    <w:multiLevelType w:val="hybridMultilevel"/>
    <w:tmpl w:val="0BB43546"/>
    <w:lvl w:ilvl="0" w:tplc="3FD07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005CC3"/>
    <w:multiLevelType w:val="hybridMultilevel"/>
    <w:tmpl w:val="BA98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B000E3"/>
    <w:multiLevelType w:val="hybridMultilevel"/>
    <w:tmpl w:val="87C0635A"/>
    <w:lvl w:ilvl="0" w:tplc="D034E7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DCA17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A313D"/>
    <w:multiLevelType w:val="hybridMultilevel"/>
    <w:tmpl w:val="3EE0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837857"/>
    <w:multiLevelType w:val="hybridMultilevel"/>
    <w:tmpl w:val="50BA67EA"/>
    <w:lvl w:ilvl="0" w:tplc="13DE9A2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632DCC"/>
    <w:multiLevelType w:val="hybridMultilevel"/>
    <w:tmpl w:val="48845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8C2E56"/>
    <w:multiLevelType w:val="hybridMultilevel"/>
    <w:tmpl w:val="BB6CA35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nsid w:val="7D962891"/>
    <w:multiLevelType w:val="hybridMultilevel"/>
    <w:tmpl w:val="D3DAE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7"/>
  </w:num>
  <w:num w:numId="4">
    <w:abstractNumId w:val="23"/>
  </w:num>
  <w:num w:numId="5">
    <w:abstractNumId w:val="3"/>
  </w:num>
  <w:num w:numId="6">
    <w:abstractNumId w:val="21"/>
  </w:num>
  <w:num w:numId="7">
    <w:abstractNumId w:val="2"/>
  </w:num>
  <w:num w:numId="8">
    <w:abstractNumId w:val="22"/>
  </w:num>
  <w:num w:numId="9">
    <w:abstractNumId w:val="5"/>
  </w:num>
  <w:num w:numId="10">
    <w:abstractNumId w:val="10"/>
  </w:num>
  <w:num w:numId="11">
    <w:abstractNumId w:val="9"/>
  </w:num>
  <w:num w:numId="12">
    <w:abstractNumId w:val="15"/>
  </w:num>
  <w:num w:numId="13">
    <w:abstractNumId w:val="0"/>
  </w:num>
  <w:num w:numId="14">
    <w:abstractNumId w:val="8"/>
  </w:num>
  <w:num w:numId="15">
    <w:abstractNumId w:val="6"/>
  </w:num>
  <w:num w:numId="16">
    <w:abstractNumId w:val="13"/>
  </w:num>
  <w:num w:numId="17">
    <w:abstractNumId w:val="18"/>
  </w:num>
  <w:num w:numId="18">
    <w:abstractNumId w:val="19"/>
  </w:num>
  <w:num w:numId="19">
    <w:abstractNumId w:val="11"/>
    <w:lvlOverride w:ilvl="0">
      <w:lvl w:ilvl="0">
        <w:start w:val="1"/>
        <w:numFmt w:val="decimal"/>
        <w:lvlText w:val="%1."/>
        <w:lvlJc w:val="left"/>
        <w:pPr>
          <w:ind w:left="504" w:hanging="504"/>
        </w:pPr>
        <w:rPr>
          <w:rFonts w:ascii="Times New Roman" w:hAnsi="Times New Roman" w:hint="default"/>
          <w:b/>
          <w:sz w:val="36"/>
        </w:rPr>
      </w:lvl>
    </w:lvlOverride>
    <w:lvlOverride w:ilvl="4">
      <w:lvl w:ilvl="4">
        <w:start w:val="1"/>
        <w:numFmt w:val="decimal"/>
        <w:lvlText w:val="%5)"/>
        <w:lvlJc w:val="left"/>
        <w:pPr>
          <w:ind w:left="864" w:hanging="317"/>
        </w:pPr>
        <w:rPr>
          <w:rFonts w:asciiTheme="minorHAnsi" w:hAnsiTheme="minorHAnsi" w:hint="default"/>
          <w:b w:val="0"/>
          <w:sz w:val="22"/>
          <w:szCs w:val="22"/>
        </w:rPr>
      </w:lvl>
    </w:lvlOverride>
  </w:num>
  <w:num w:numId="20">
    <w:abstractNumId w:val="11"/>
  </w:num>
  <w:num w:numId="21">
    <w:abstractNumId w:val="4"/>
  </w:num>
  <w:num w:numId="22">
    <w:abstractNumId w:val="20"/>
  </w:num>
  <w:num w:numId="23">
    <w:abstractNumId w:val="7"/>
  </w:num>
  <w:num w:numId="24">
    <w:abstractNumId w:val="1"/>
  </w:num>
  <w:num w:numId="25">
    <w:abstractNumId w:val="14"/>
  </w:num>
  <w:num w:numId="2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trackRevisions/>
  <w:documentProtection w:edit="readOnly" w:enforcement="1" w:cryptProviderType="rsaAES" w:cryptAlgorithmClass="hash" w:cryptAlgorithmType="typeAny" w:cryptAlgorithmSid="14" w:cryptSpinCount="100000" w:hash="IfpmZPW54u6TDj5CDwZWj24isltfBBMLLYzmadilsj6HOV/DNpjrKqfZlvmcekgcJQGHi+x2gr2MTn78tQIwmQ==" w:salt="DQLQjW+Bjp7CNAC300r1I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D4"/>
    <w:rsid w:val="000000F8"/>
    <w:rsid w:val="00002A91"/>
    <w:rsid w:val="00002D24"/>
    <w:rsid w:val="000034D3"/>
    <w:rsid w:val="00012492"/>
    <w:rsid w:val="0002095C"/>
    <w:rsid w:val="00022431"/>
    <w:rsid w:val="0002339E"/>
    <w:rsid w:val="00023971"/>
    <w:rsid w:val="00023EBA"/>
    <w:rsid w:val="0003061E"/>
    <w:rsid w:val="00030D3C"/>
    <w:rsid w:val="00032986"/>
    <w:rsid w:val="00033D7A"/>
    <w:rsid w:val="00033DCA"/>
    <w:rsid w:val="00036225"/>
    <w:rsid w:val="00037EA6"/>
    <w:rsid w:val="000423F4"/>
    <w:rsid w:val="0004260C"/>
    <w:rsid w:val="00047CDE"/>
    <w:rsid w:val="00051575"/>
    <w:rsid w:val="0005175E"/>
    <w:rsid w:val="000524A4"/>
    <w:rsid w:val="0005263B"/>
    <w:rsid w:val="000530D4"/>
    <w:rsid w:val="000537BF"/>
    <w:rsid w:val="00055A3E"/>
    <w:rsid w:val="00055A5D"/>
    <w:rsid w:val="00056C5B"/>
    <w:rsid w:val="00057195"/>
    <w:rsid w:val="00060DE3"/>
    <w:rsid w:val="00063C92"/>
    <w:rsid w:val="00065DF3"/>
    <w:rsid w:val="000669F4"/>
    <w:rsid w:val="00066B09"/>
    <w:rsid w:val="0006711E"/>
    <w:rsid w:val="00071D41"/>
    <w:rsid w:val="0007714A"/>
    <w:rsid w:val="0008054C"/>
    <w:rsid w:val="000821DB"/>
    <w:rsid w:val="0008555A"/>
    <w:rsid w:val="00087172"/>
    <w:rsid w:val="00094467"/>
    <w:rsid w:val="00096111"/>
    <w:rsid w:val="00096DA4"/>
    <w:rsid w:val="0009710E"/>
    <w:rsid w:val="000978A2"/>
    <w:rsid w:val="000A08F2"/>
    <w:rsid w:val="000A2A01"/>
    <w:rsid w:val="000A6240"/>
    <w:rsid w:val="000B0605"/>
    <w:rsid w:val="000B129C"/>
    <w:rsid w:val="000B2649"/>
    <w:rsid w:val="000B5B54"/>
    <w:rsid w:val="000B722C"/>
    <w:rsid w:val="000C0CBD"/>
    <w:rsid w:val="000C0EF7"/>
    <w:rsid w:val="000C158C"/>
    <w:rsid w:val="000C4A05"/>
    <w:rsid w:val="000C70DA"/>
    <w:rsid w:val="000C7769"/>
    <w:rsid w:val="000D2FEE"/>
    <w:rsid w:val="000D3C84"/>
    <w:rsid w:val="000D48AC"/>
    <w:rsid w:val="000D64E9"/>
    <w:rsid w:val="000D753C"/>
    <w:rsid w:val="000E2AAC"/>
    <w:rsid w:val="000E2F9F"/>
    <w:rsid w:val="000E36A4"/>
    <w:rsid w:val="000F0388"/>
    <w:rsid w:val="000F1A08"/>
    <w:rsid w:val="000F1F37"/>
    <w:rsid w:val="000F3317"/>
    <w:rsid w:val="000F4B22"/>
    <w:rsid w:val="000F553F"/>
    <w:rsid w:val="001000AB"/>
    <w:rsid w:val="001001EB"/>
    <w:rsid w:val="00104AC9"/>
    <w:rsid w:val="00106956"/>
    <w:rsid w:val="00106D2C"/>
    <w:rsid w:val="00106EA8"/>
    <w:rsid w:val="00107BAF"/>
    <w:rsid w:val="00107D90"/>
    <w:rsid w:val="001121C9"/>
    <w:rsid w:val="00114140"/>
    <w:rsid w:val="001155FC"/>
    <w:rsid w:val="001179DF"/>
    <w:rsid w:val="00120712"/>
    <w:rsid w:val="00122455"/>
    <w:rsid w:val="00123E12"/>
    <w:rsid w:val="00124C08"/>
    <w:rsid w:val="0012528F"/>
    <w:rsid w:val="00126C5C"/>
    <w:rsid w:val="00127E4A"/>
    <w:rsid w:val="0013183F"/>
    <w:rsid w:val="00136BCF"/>
    <w:rsid w:val="001401A2"/>
    <w:rsid w:val="0014087E"/>
    <w:rsid w:val="001422C6"/>
    <w:rsid w:val="001430F7"/>
    <w:rsid w:val="0014485A"/>
    <w:rsid w:val="00145BF7"/>
    <w:rsid w:val="00146E72"/>
    <w:rsid w:val="001517A2"/>
    <w:rsid w:val="00156000"/>
    <w:rsid w:val="00156B39"/>
    <w:rsid w:val="00157C09"/>
    <w:rsid w:val="00157D0C"/>
    <w:rsid w:val="00157EB4"/>
    <w:rsid w:val="001620AA"/>
    <w:rsid w:val="00162647"/>
    <w:rsid w:val="0016374B"/>
    <w:rsid w:val="00174D93"/>
    <w:rsid w:val="001770B4"/>
    <w:rsid w:val="00177878"/>
    <w:rsid w:val="00177C2F"/>
    <w:rsid w:val="0018090E"/>
    <w:rsid w:val="00182531"/>
    <w:rsid w:val="00185531"/>
    <w:rsid w:val="00185990"/>
    <w:rsid w:val="0018649E"/>
    <w:rsid w:val="00186D13"/>
    <w:rsid w:val="0019051C"/>
    <w:rsid w:val="00190669"/>
    <w:rsid w:val="00190C66"/>
    <w:rsid w:val="00191095"/>
    <w:rsid w:val="00193B5F"/>
    <w:rsid w:val="00195C16"/>
    <w:rsid w:val="00196A1C"/>
    <w:rsid w:val="001971B8"/>
    <w:rsid w:val="001A25B4"/>
    <w:rsid w:val="001A38E0"/>
    <w:rsid w:val="001A7E54"/>
    <w:rsid w:val="001B027B"/>
    <w:rsid w:val="001B17FC"/>
    <w:rsid w:val="001B1E3C"/>
    <w:rsid w:val="001B3362"/>
    <w:rsid w:val="001B4E23"/>
    <w:rsid w:val="001B6222"/>
    <w:rsid w:val="001C1692"/>
    <w:rsid w:val="001C381D"/>
    <w:rsid w:val="001C4DDB"/>
    <w:rsid w:val="001D1534"/>
    <w:rsid w:val="001D3960"/>
    <w:rsid w:val="001D3EF2"/>
    <w:rsid w:val="001D4012"/>
    <w:rsid w:val="001D4657"/>
    <w:rsid w:val="001D52E3"/>
    <w:rsid w:val="001D6256"/>
    <w:rsid w:val="001D7257"/>
    <w:rsid w:val="001E28C5"/>
    <w:rsid w:val="001E2C56"/>
    <w:rsid w:val="001E6A4C"/>
    <w:rsid w:val="001E7060"/>
    <w:rsid w:val="001E7B13"/>
    <w:rsid w:val="001F2A50"/>
    <w:rsid w:val="001F43BF"/>
    <w:rsid w:val="001F4928"/>
    <w:rsid w:val="001F5DF0"/>
    <w:rsid w:val="001F6025"/>
    <w:rsid w:val="0020074A"/>
    <w:rsid w:val="00201A5A"/>
    <w:rsid w:val="00203B81"/>
    <w:rsid w:val="0020487B"/>
    <w:rsid w:val="00205794"/>
    <w:rsid w:val="00206F2E"/>
    <w:rsid w:val="00207027"/>
    <w:rsid w:val="00207CFA"/>
    <w:rsid w:val="00207EE6"/>
    <w:rsid w:val="002116FC"/>
    <w:rsid w:val="00212100"/>
    <w:rsid w:val="00212ACD"/>
    <w:rsid w:val="00212DE9"/>
    <w:rsid w:val="002155C5"/>
    <w:rsid w:val="00215AB8"/>
    <w:rsid w:val="00217E92"/>
    <w:rsid w:val="00220122"/>
    <w:rsid w:val="00221BE6"/>
    <w:rsid w:val="00225534"/>
    <w:rsid w:val="00231D87"/>
    <w:rsid w:val="00231DD8"/>
    <w:rsid w:val="002340D0"/>
    <w:rsid w:val="002349AD"/>
    <w:rsid w:val="00235129"/>
    <w:rsid w:val="00235F22"/>
    <w:rsid w:val="002367B9"/>
    <w:rsid w:val="00242BB6"/>
    <w:rsid w:val="00242BC2"/>
    <w:rsid w:val="00243AA7"/>
    <w:rsid w:val="00250E4D"/>
    <w:rsid w:val="00251D3F"/>
    <w:rsid w:val="00252349"/>
    <w:rsid w:val="00253D0C"/>
    <w:rsid w:val="0025426E"/>
    <w:rsid w:val="00254709"/>
    <w:rsid w:val="00254D52"/>
    <w:rsid w:val="002560C4"/>
    <w:rsid w:val="002601A1"/>
    <w:rsid w:val="00260556"/>
    <w:rsid w:val="0026089A"/>
    <w:rsid w:val="00260FC0"/>
    <w:rsid w:val="0026147E"/>
    <w:rsid w:val="0026193A"/>
    <w:rsid w:val="00261FC8"/>
    <w:rsid w:val="00262E17"/>
    <w:rsid w:val="00264D76"/>
    <w:rsid w:val="0026500E"/>
    <w:rsid w:val="00265DA7"/>
    <w:rsid w:val="00266A90"/>
    <w:rsid w:val="00266DBA"/>
    <w:rsid w:val="00270054"/>
    <w:rsid w:val="0027206B"/>
    <w:rsid w:val="002916EE"/>
    <w:rsid w:val="00291775"/>
    <w:rsid w:val="002957C3"/>
    <w:rsid w:val="00297519"/>
    <w:rsid w:val="002A212A"/>
    <w:rsid w:val="002A3AC5"/>
    <w:rsid w:val="002A41E2"/>
    <w:rsid w:val="002A4F89"/>
    <w:rsid w:val="002A63F3"/>
    <w:rsid w:val="002A73BA"/>
    <w:rsid w:val="002A7495"/>
    <w:rsid w:val="002A7E02"/>
    <w:rsid w:val="002B35E0"/>
    <w:rsid w:val="002B44DF"/>
    <w:rsid w:val="002B4D2D"/>
    <w:rsid w:val="002C01A6"/>
    <w:rsid w:val="002C11D0"/>
    <w:rsid w:val="002C1E8E"/>
    <w:rsid w:val="002C2863"/>
    <w:rsid w:val="002C3C5D"/>
    <w:rsid w:val="002C42D4"/>
    <w:rsid w:val="002C5341"/>
    <w:rsid w:val="002C64AE"/>
    <w:rsid w:val="002C72EA"/>
    <w:rsid w:val="002D0072"/>
    <w:rsid w:val="002D0BA3"/>
    <w:rsid w:val="002D24C4"/>
    <w:rsid w:val="002D37CD"/>
    <w:rsid w:val="002D3ACB"/>
    <w:rsid w:val="002D4207"/>
    <w:rsid w:val="002D699B"/>
    <w:rsid w:val="002D70E8"/>
    <w:rsid w:val="002E271E"/>
    <w:rsid w:val="002F0C4E"/>
    <w:rsid w:val="002F1DF9"/>
    <w:rsid w:val="002F6971"/>
    <w:rsid w:val="002F732C"/>
    <w:rsid w:val="002F7A8C"/>
    <w:rsid w:val="00302AB8"/>
    <w:rsid w:val="0030529F"/>
    <w:rsid w:val="003110A1"/>
    <w:rsid w:val="003117F4"/>
    <w:rsid w:val="00311B97"/>
    <w:rsid w:val="0031223E"/>
    <w:rsid w:val="00312750"/>
    <w:rsid w:val="00314AF9"/>
    <w:rsid w:val="00314F00"/>
    <w:rsid w:val="003219A4"/>
    <w:rsid w:val="00321BAE"/>
    <w:rsid w:val="00321C32"/>
    <w:rsid w:val="003228C4"/>
    <w:rsid w:val="003251DE"/>
    <w:rsid w:val="003312B4"/>
    <w:rsid w:val="003341A3"/>
    <w:rsid w:val="00337F2D"/>
    <w:rsid w:val="003403CE"/>
    <w:rsid w:val="0034042A"/>
    <w:rsid w:val="0034079D"/>
    <w:rsid w:val="00340F57"/>
    <w:rsid w:val="00341E06"/>
    <w:rsid w:val="00342922"/>
    <w:rsid w:val="0034373F"/>
    <w:rsid w:val="003458CF"/>
    <w:rsid w:val="0034761A"/>
    <w:rsid w:val="00350F3F"/>
    <w:rsid w:val="00352418"/>
    <w:rsid w:val="0035243F"/>
    <w:rsid w:val="0035346D"/>
    <w:rsid w:val="0035383E"/>
    <w:rsid w:val="00353C2E"/>
    <w:rsid w:val="00355BAD"/>
    <w:rsid w:val="00356B6C"/>
    <w:rsid w:val="0035742D"/>
    <w:rsid w:val="003574C3"/>
    <w:rsid w:val="00357519"/>
    <w:rsid w:val="00360130"/>
    <w:rsid w:val="003623CF"/>
    <w:rsid w:val="00362FD6"/>
    <w:rsid w:val="0036358D"/>
    <w:rsid w:val="00364668"/>
    <w:rsid w:val="00365B4B"/>
    <w:rsid w:val="0036664C"/>
    <w:rsid w:val="0037071F"/>
    <w:rsid w:val="00372E48"/>
    <w:rsid w:val="00376840"/>
    <w:rsid w:val="00377F32"/>
    <w:rsid w:val="0038027A"/>
    <w:rsid w:val="003805E8"/>
    <w:rsid w:val="00380896"/>
    <w:rsid w:val="00380DCA"/>
    <w:rsid w:val="00381890"/>
    <w:rsid w:val="003829B0"/>
    <w:rsid w:val="003839C8"/>
    <w:rsid w:val="003862BD"/>
    <w:rsid w:val="00390232"/>
    <w:rsid w:val="0039291E"/>
    <w:rsid w:val="00394ACF"/>
    <w:rsid w:val="003A23BC"/>
    <w:rsid w:val="003A4342"/>
    <w:rsid w:val="003A492A"/>
    <w:rsid w:val="003A5473"/>
    <w:rsid w:val="003A7D93"/>
    <w:rsid w:val="003B311C"/>
    <w:rsid w:val="003B55E3"/>
    <w:rsid w:val="003B62A4"/>
    <w:rsid w:val="003B64D5"/>
    <w:rsid w:val="003C10BF"/>
    <w:rsid w:val="003C2EC4"/>
    <w:rsid w:val="003C5200"/>
    <w:rsid w:val="003C68CE"/>
    <w:rsid w:val="003D02D7"/>
    <w:rsid w:val="003D09C9"/>
    <w:rsid w:val="003D0CFE"/>
    <w:rsid w:val="003D1EB1"/>
    <w:rsid w:val="003D203D"/>
    <w:rsid w:val="003D30EA"/>
    <w:rsid w:val="003D3CD5"/>
    <w:rsid w:val="003D6E65"/>
    <w:rsid w:val="003E0AC4"/>
    <w:rsid w:val="003E2604"/>
    <w:rsid w:val="003E33E9"/>
    <w:rsid w:val="003E45B2"/>
    <w:rsid w:val="003E735E"/>
    <w:rsid w:val="003E7613"/>
    <w:rsid w:val="003E76D2"/>
    <w:rsid w:val="003F00F0"/>
    <w:rsid w:val="003F1A81"/>
    <w:rsid w:val="003F1B1C"/>
    <w:rsid w:val="003F25AA"/>
    <w:rsid w:val="003F27E4"/>
    <w:rsid w:val="003F31F0"/>
    <w:rsid w:val="003F4143"/>
    <w:rsid w:val="003F5275"/>
    <w:rsid w:val="003F72DD"/>
    <w:rsid w:val="00402A39"/>
    <w:rsid w:val="004053B5"/>
    <w:rsid w:val="004056CC"/>
    <w:rsid w:val="004063A6"/>
    <w:rsid w:val="004063E9"/>
    <w:rsid w:val="00407D09"/>
    <w:rsid w:val="00410A70"/>
    <w:rsid w:val="00411503"/>
    <w:rsid w:val="00412852"/>
    <w:rsid w:val="00415B57"/>
    <w:rsid w:val="00417E74"/>
    <w:rsid w:val="00421BA7"/>
    <w:rsid w:val="0042353F"/>
    <w:rsid w:val="004239CB"/>
    <w:rsid w:val="00427211"/>
    <w:rsid w:val="004313A7"/>
    <w:rsid w:val="004322B3"/>
    <w:rsid w:val="00432314"/>
    <w:rsid w:val="00432358"/>
    <w:rsid w:val="004337F9"/>
    <w:rsid w:val="00433C54"/>
    <w:rsid w:val="00434220"/>
    <w:rsid w:val="00434B7D"/>
    <w:rsid w:val="004356A4"/>
    <w:rsid w:val="00435C58"/>
    <w:rsid w:val="004363F4"/>
    <w:rsid w:val="00445109"/>
    <w:rsid w:val="00451663"/>
    <w:rsid w:val="00452060"/>
    <w:rsid w:val="00452932"/>
    <w:rsid w:val="004549C2"/>
    <w:rsid w:val="00455A24"/>
    <w:rsid w:val="00455A80"/>
    <w:rsid w:val="00455CB9"/>
    <w:rsid w:val="0045717F"/>
    <w:rsid w:val="00462E0E"/>
    <w:rsid w:val="00463B5F"/>
    <w:rsid w:val="00464CD9"/>
    <w:rsid w:val="004669C0"/>
    <w:rsid w:val="00472610"/>
    <w:rsid w:val="004732DD"/>
    <w:rsid w:val="004750BF"/>
    <w:rsid w:val="0047528E"/>
    <w:rsid w:val="00476B9B"/>
    <w:rsid w:val="0048200F"/>
    <w:rsid w:val="00483E11"/>
    <w:rsid w:val="0048573C"/>
    <w:rsid w:val="004878B8"/>
    <w:rsid w:val="0049441B"/>
    <w:rsid w:val="004977EA"/>
    <w:rsid w:val="00497D86"/>
    <w:rsid w:val="004A01E4"/>
    <w:rsid w:val="004A28E8"/>
    <w:rsid w:val="004A3EF9"/>
    <w:rsid w:val="004B1211"/>
    <w:rsid w:val="004B25A9"/>
    <w:rsid w:val="004B387A"/>
    <w:rsid w:val="004B5E76"/>
    <w:rsid w:val="004B7279"/>
    <w:rsid w:val="004C1C22"/>
    <w:rsid w:val="004C3B23"/>
    <w:rsid w:val="004C3B54"/>
    <w:rsid w:val="004C62A0"/>
    <w:rsid w:val="004C70BC"/>
    <w:rsid w:val="004D5F14"/>
    <w:rsid w:val="004D6308"/>
    <w:rsid w:val="004D6CCF"/>
    <w:rsid w:val="004E0A85"/>
    <w:rsid w:val="004E17B6"/>
    <w:rsid w:val="004E2373"/>
    <w:rsid w:val="004E68C6"/>
    <w:rsid w:val="004E7A52"/>
    <w:rsid w:val="004F5E0A"/>
    <w:rsid w:val="0050064E"/>
    <w:rsid w:val="00500802"/>
    <w:rsid w:val="00501422"/>
    <w:rsid w:val="0050168E"/>
    <w:rsid w:val="00502E2A"/>
    <w:rsid w:val="00506CFD"/>
    <w:rsid w:val="00510DFC"/>
    <w:rsid w:val="00514218"/>
    <w:rsid w:val="0051473D"/>
    <w:rsid w:val="005155A4"/>
    <w:rsid w:val="00516548"/>
    <w:rsid w:val="00520886"/>
    <w:rsid w:val="005224C7"/>
    <w:rsid w:val="005224FB"/>
    <w:rsid w:val="00522A1D"/>
    <w:rsid w:val="0052302B"/>
    <w:rsid w:val="00523E7E"/>
    <w:rsid w:val="00524CE5"/>
    <w:rsid w:val="00525544"/>
    <w:rsid w:val="0052690C"/>
    <w:rsid w:val="00526B4F"/>
    <w:rsid w:val="00531BFB"/>
    <w:rsid w:val="005325B2"/>
    <w:rsid w:val="00532777"/>
    <w:rsid w:val="00534E7D"/>
    <w:rsid w:val="00535433"/>
    <w:rsid w:val="0054080E"/>
    <w:rsid w:val="00542B8F"/>
    <w:rsid w:val="005469B9"/>
    <w:rsid w:val="0055302A"/>
    <w:rsid w:val="005535ED"/>
    <w:rsid w:val="00554FA3"/>
    <w:rsid w:val="00561952"/>
    <w:rsid w:val="00562878"/>
    <w:rsid w:val="0056330D"/>
    <w:rsid w:val="00563BCB"/>
    <w:rsid w:val="0056486D"/>
    <w:rsid w:val="00566561"/>
    <w:rsid w:val="00566633"/>
    <w:rsid w:val="005700A5"/>
    <w:rsid w:val="00570DA1"/>
    <w:rsid w:val="00570E3F"/>
    <w:rsid w:val="00570EC8"/>
    <w:rsid w:val="00571736"/>
    <w:rsid w:val="0057273D"/>
    <w:rsid w:val="00574799"/>
    <w:rsid w:val="00574E2C"/>
    <w:rsid w:val="00577ACB"/>
    <w:rsid w:val="00580D2F"/>
    <w:rsid w:val="00583AD4"/>
    <w:rsid w:val="00583D8F"/>
    <w:rsid w:val="0058605B"/>
    <w:rsid w:val="00586320"/>
    <w:rsid w:val="00586ACF"/>
    <w:rsid w:val="0058731A"/>
    <w:rsid w:val="00587894"/>
    <w:rsid w:val="0059139D"/>
    <w:rsid w:val="00595045"/>
    <w:rsid w:val="00595E60"/>
    <w:rsid w:val="00597112"/>
    <w:rsid w:val="005A149E"/>
    <w:rsid w:val="005A48DA"/>
    <w:rsid w:val="005A5023"/>
    <w:rsid w:val="005A59C0"/>
    <w:rsid w:val="005B18D6"/>
    <w:rsid w:val="005B3E3C"/>
    <w:rsid w:val="005B69FC"/>
    <w:rsid w:val="005B6ADD"/>
    <w:rsid w:val="005B7305"/>
    <w:rsid w:val="005B7D6F"/>
    <w:rsid w:val="005C0772"/>
    <w:rsid w:val="005C4EB3"/>
    <w:rsid w:val="005C6C85"/>
    <w:rsid w:val="005C6D9F"/>
    <w:rsid w:val="005C76CD"/>
    <w:rsid w:val="005C7C12"/>
    <w:rsid w:val="005D3DA6"/>
    <w:rsid w:val="005D4165"/>
    <w:rsid w:val="005D4DDA"/>
    <w:rsid w:val="005D7F20"/>
    <w:rsid w:val="005D7F5C"/>
    <w:rsid w:val="005E0F14"/>
    <w:rsid w:val="005E1503"/>
    <w:rsid w:val="005E3981"/>
    <w:rsid w:val="005E4620"/>
    <w:rsid w:val="005E494F"/>
    <w:rsid w:val="005E5EB6"/>
    <w:rsid w:val="005F1524"/>
    <w:rsid w:val="005F1CBB"/>
    <w:rsid w:val="0060161F"/>
    <w:rsid w:val="00603BE3"/>
    <w:rsid w:val="006046D0"/>
    <w:rsid w:val="00605C42"/>
    <w:rsid w:val="00606E6B"/>
    <w:rsid w:val="00607DA4"/>
    <w:rsid w:val="00613443"/>
    <w:rsid w:val="00613571"/>
    <w:rsid w:val="0061551A"/>
    <w:rsid w:val="006161CD"/>
    <w:rsid w:val="006215EF"/>
    <w:rsid w:val="00621A25"/>
    <w:rsid w:val="00622038"/>
    <w:rsid w:val="00631D8C"/>
    <w:rsid w:val="00632F89"/>
    <w:rsid w:val="00634AF7"/>
    <w:rsid w:val="00635BAC"/>
    <w:rsid w:val="00635D59"/>
    <w:rsid w:val="00636B8D"/>
    <w:rsid w:val="006370E9"/>
    <w:rsid w:val="00640199"/>
    <w:rsid w:val="0064178A"/>
    <w:rsid w:val="00642349"/>
    <w:rsid w:val="00642FCA"/>
    <w:rsid w:val="0064458D"/>
    <w:rsid w:val="006453ED"/>
    <w:rsid w:val="0064731D"/>
    <w:rsid w:val="00650A51"/>
    <w:rsid w:val="00651CDC"/>
    <w:rsid w:val="00651D82"/>
    <w:rsid w:val="00652C0C"/>
    <w:rsid w:val="00653769"/>
    <w:rsid w:val="00653FD2"/>
    <w:rsid w:val="00654A01"/>
    <w:rsid w:val="00654DB8"/>
    <w:rsid w:val="00654EA4"/>
    <w:rsid w:val="00657707"/>
    <w:rsid w:val="006626FB"/>
    <w:rsid w:val="006629AB"/>
    <w:rsid w:val="00666E62"/>
    <w:rsid w:val="00667A26"/>
    <w:rsid w:val="00667F6B"/>
    <w:rsid w:val="006716BE"/>
    <w:rsid w:val="00672138"/>
    <w:rsid w:val="00673F91"/>
    <w:rsid w:val="00675671"/>
    <w:rsid w:val="0067707B"/>
    <w:rsid w:val="00684C1D"/>
    <w:rsid w:val="006856DA"/>
    <w:rsid w:val="00691F15"/>
    <w:rsid w:val="00693682"/>
    <w:rsid w:val="00694B80"/>
    <w:rsid w:val="00694D8A"/>
    <w:rsid w:val="00695F29"/>
    <w:rsid w:val="006A2CDE"/>
    <w:rsid w:val="006A369B"/>
    <w:rsid w:val="006B0445"/>
    <w:rsid w:val="006B20A7"/>
    <w:rsid w:val="006B2CCE"/>
    <w:rsid w:val="006B682A"/>
    <w:rsid w:val="006C0DD2"/>
    <w:rsid w:val="006C3A7F"/>
    <w:rsid w:val="006C481F"/>
    <w:rsid w:val="006C5525"/>
    <w:rsid w:val="006C58FA"/>
    <w:rsid w:val="006D255E"/>
    <w:rsid w:val="006D5261"/>
    <w:rsid w:val="006D7376"/>
    <w:rsid w:val="006D7864"/>
    <w:rsid w:val="006E1EC3"/>
    <w:rsid w:val="006E6E9C"/>
    <w:rsid w:val="006F20A3"/>
    <w:rsid w:val="00702DC8"/>
    <w:rsid w:val="00703BAC"/>
    <w:rsid w:val="00705096"/>
    <w:rsid w:val="007055E5"/>
    <w:rsid w:val="00705E43"/>
    <w:rsid w:val="00707417"/>
    <w:rsid w:val="007076A6"/>
    <w:rsid w:val="00710209"/>
    <w:rsid w:val="00715501"/>
    <w:rsid w:val="007156ED"/>
    <w:rsid w:val="007174A7"/>
    <w:rsid w:val="00721094"/>
    <w:rsid w:val="007218FF"/>
    <w:rsid w:val="00723773"/>
    <w:rsid w:val="00730509"/>
    <w:rsid w:val="0073082B"/>
    <w:rsid w:val="007320A4"/>
    <w:rsid w:val="00732F2D"/>
    <w:rsid w:val="0073328F"/>
    <w:rsid w:val="00734E7F"/>
    <w:rsid w:val="0073795F"/>
    <w:rsid w:val="00740AE3"/>
    <w:rsid w:val="007432CA"/>
    <w:rsid w:val="007437BE"/>
    <w:rsid w:val="0074391D"/>
    <w:rsid w:val="00743AF4"/>
    <w:rsid w:val="00743B69"/>
    <w:rsid w:val="00744D7D"/>
    <w:rsid w:val="00750311"/>
    <w:rsid w:val="007510B0"/>
    <w:rsid w:val="007519E3"/>
    <w:rsid w:val="00751F70"/>
    <w:rsid w:val="00753DCC"/>
    <w:rsid w:val="00755926"/>
    <w:rsid w:val="007569F6"/>
    <w:rsid w:val="00756BB5"/>
    <w:rsid w:val="007604BF"/>
    <w:rsid w:val="00762379"/>
    <w:rsid w:val="0076665C"/>
    <w:rsid w:val="00766B0B"/>
    <w:rsid w:val="00767525"/>
    <w:rsid w:val="007710D1"/>
    <w:rsid w:val="00771A43"/>
    <w:rsid w:val="0077245C"/>
    <w:rsid w:val="00772CF4"/>
    <w:rsid w:val="007771C5"/>
    <w:rsid w:val="007802C7"/>
    <w:rsid w:val="007808B1"/>
    <w:rsid w:val="0078122A"/>
    <w:rsid w:val="0078325F"/>
    <w:rsid w:val="00783710"/>
    <w:rsid w:val="007842EB"/>
    <w:rsid w:val="007854CB"/>
    <w:rsid w:val="00786B75"/>
    <w:rsid w:val="00786DAD"/>
    <w:rsid w:val="007874F5"/>
    <w:rsid w:val="007937A8"/>
    <w:rsid w:val="00793CA3"/>
    <w:rsid w:val="00793D2A"/>
    <w:rsid w:val="00794F7A"/>
    <w:rsid w:val="00795192"/>
    <w:rsid w:val="00795618"/>
    <w:rsid w:val="00796049"/>
    <w:rsid w:val="00796205"/>
    <w:rsid w:val="0079665A"/>
    <w:rsid w:val="00796D7A"/>
    <w:rsid w:val="007A1892"/>
    <w:rsid w:val="007A2220"/>
    <w:rsid w:val="007A2ADB"/>
    <w:rsid w:val="007A345B"/>
    <w:rsid w:val="007A7ABF"/>
    <w:rsid w:val="007B0482"/>
    <w:rsid w:val="007B5209"/>
    <w:rsid w:val="007C10D7"/>
    <w:rsid w:val="007C14AF"/>
    <w:rsid w:val="007C3335"/>
    <w:rsid w:val="007C428C"/>
    <w:rsid w:val="007C48C6"/>
    <w:rsid w:val="007C633C"/>
    <w:rsid w:val="007C63AF"/>
    <w:rsid w:val="007C6A86"/>
    <w:rsid w:val="007C6DD1"/>
    <w:rsid w:val="007D266A"/>
    <w:rsid w:val="007D3199"/>
    <w:rsid w:val="007D563E"/>
    <w:rsid w:val="007D6132"/>
    <w:rsid w:val="007D79A5"/>
    <w:rsid w:val="007E2458"/>
    <w:rsid w:val="007E3447"/>
    <w:rsid w:val="007E7051"/>
    <w:rsid w:val="007F0C30"/>
    <w:rsid w:val="007F1C65"/>
    <w:rsid w:val="007F279E"/>
    <w:rsid w:val="007F7FB3"/>
    <w:rsid w:val="00801DE5"/>
    <w:rsid w:val="008020EF"/>
    <w:rsid w:val="008037DE"/>
    <w:rsid w:val="00806274"/>
    <w:rsid w:val="0081112E"/>
    <w:rsid w:val="008114FC"/>
    <w:rsid w:val="00811BF5"/>
    <w:rsid w:val="008125EA"/>
    <w:rsid w:val="00815BE1"/>
    <w:rsid w:val="00817A8E"/>
    <w:rsid w:val="00821057"/>
    <w:rsid w:val="008218FE"/>
    <w:rsid w:val="008240C7"/>
    <w:rsid w:val="008320FC"/>
    <w:rsid w:val="00832975"/>
    <w:rsid w:val="00833CE1"/>
    <w:rsid w:val="0083558A"/>
    <w:rsid w:val="00837805"/>
    <w:rsid w:val="00837D0B"/>
    <w:rsid w:val="00842DA5"/>
    <w:rsid w:val="00843441"/>
    <w:rsid w:val="008440C1"/>
    <w:rsid w:val="00845BA7"/>
    <w:rsid w:val="008471B6"/>
    <w:rsid w:val="008473DE"/>
    <w:rsid w:val="00847AC9"/>
    <w:rsid w:val="00851278"/>
    <w:rsid w:val="00851816"/>
    <w:rsid w:val="00851B28"/>
    <w:rsid w:val="0085501A"/>
    <w:rsid w:val="00857423"/>
    <w:rsid w:val="008612B3"/>
    <w:rsid w:val="008622AB"/>
    <w:rsid w:val="00863636"/>
    <w:rsid w:val="00866BBC"/>
    <w:rsid w:val="00870C6D"/>
    <w:rsid w:val="0087139D"/>
    <w:rsid w:val="0087197A"/>
    <w:rsid w:val="00871EEE"/>
    <w:rsid w:val="00873AE8"/>
    <w:rsid w:val="00874B2B"/>
    <w:rsid w:val="00877A1D"/>
    <w:rsid w:val="00877CAE"/>
    <w:rsid w:val="00877DBC"/>
    <w:rsid w:val="008800AE"/>
    <w:rsid w:val="008855AE"/>
    <w:rsid w:val="00886005"/>
    <w:rsid w:val="0088772A"/>
    <w:rsid w:val="00887792"/>
    <w:rsid w:val="00891FFA"/>
    <w:rsid w:val="0089205A"/>
    <w:rsid w:val="00893AB3"/>
    <w:rsid w:val="008A046F"/>
    <w:rsid w:val="008A16C7"/>
    <w:rsid w:val="008A1AD1"/>
    <w:rsid w:val="008A56B9"/>
    <w:rsid w:val="008A5EF7"/>
    <w:rsid w:val="008A799A"/>
    <w:rsid w:val="008A79CF"/>
    <w:rsid w:val="008B086B"/>
    <w:rsid w:val="008B447A"/>
    <w:rsid w:val="008B4A59"/>
    <w:rsid w:val="008B6B55"/>
    <w:rsid w:val="008C64CB"/>
    <w:rsid w:val="008C75C2"/>
    <w:rsid w:val="008D0536"/>
    <w:rsid w:val="008D0EC2"/>
    <w:rsid w:val="008D1C91"/>
    <w:rsid w:val="008D55B5"/>
    <w:rsid w:val="008D5632"/>
    <w:rsid w:val="008D5A3A"/>
    <w:rsid w:val="008D75B3"/>
    <w:rsid w:val="008E07F8"/>
    <w:rsid w:val="008E19B4"/>
    <w:rsid w:val="008E1CF3"/>
    <w:rsid w:val="008E21E3"/>
    <w:rsid w:val="008E4402"/>
    <w:rsid w:val="008E7386"/>
    <w:rsid w:val="008E7982"/>
    <w:rsid w:val="008F0292"/>
    <w:rsid w:val="008F0660"/>
    <w:rsid w:val="008F1616"/>
    <w:rsid w:val="008F320B"/>
    <w:rsid w:val="008F52DF"/>
    <w:rsid w:val="008F5B77"/>
    <w:rsid w:val="00901B57"/>
    <w:rsid w:val="00902851"/>
    <w:rsid w:val="00903FBB"/>
    <w:rsid w:val="00905C32"/>
    <w:rsid w:val="00906110"/>
    <w:rsid w:val="009109D8"/>
    <w:rsid w:val="009114EE"/>
    <w:rsid w:val="00911841"/>
    <w:rsid w:val="00911B47"/>
    <w:rsid w:val="00912180"/>
    <w:rsid w:val="00914125"/>
    <w:rsid w:val="0091589B"/>
    <w:rsid w:val="00917030"/>
    <w:rsid w:val="009200CB"/>
    <w:rsid w:val="0092595C"/>
    <w:rsid w:val="00927A6D"/>
    <w:rsid w:val="00927E41"/>
    <w:rsid w:val="00931BCD"/>
    <w:rsid w:val="00931EE0"/>
    <w:rsid w:val="00935D6C"/>
    <w:rsid w:val="009374D1"/>
    <w:rsid w:val="00941771"/>
    <w:rsid w:val="00941DEB"/>
    <w:rsid w:val="00944AE7"/>
    <w:rsid w:val="00951F2D"/>
    <w:rsid w:val="00954119"/>
    <w:rsid w:val="00954C05"/>
    <w:rsid w:val="00954EB7"/>
    <w:rsid w:val="0095530E"/>
    <w:rsid w:val="00960C1D"/>
    <w:rsid w:val="00962166"/>
    <w:rsid w:val="009633E2"/>
    <w:rsid w:val="0096426E"/>
    <w:rsid w:val="009652B2"/>
    <w:rsid w:val="00965CC9"/>
    <w:rsid w:val="00972727"/>
    <w:rsid w:val="009728A8"/>
    <w:rsid w:val="00974AC2"/>
    <w:rsid w:val="0097676B"/>
    <w:rsid w:val="00977162"/>
    <w:rsid w:val="009773E4"/>
    <w:rsid w:val="00977B03"/>
    <w:rsid w:val="00981BE7"/>
    <w:rsid w:val="00982161"/>
    <w:rsid w:val="009826D4"/>
    <w:rsid w:val="00983195"/>
    <w:rsid w:val="00983B89"/>
    <w:rsid w:val="00984097"/>
    <w:rsid w:val="0098414E"/>
    <w:rsid w:val="00984E71"/>
    <w:rsid w:val="00985685"/>
    <w:rsid w:val="00986C30"/>
    <w:rsid w:val="00986EC5"/>
    <w:rsid w:val="00990154"/>
    <w:rsid w:val="00990C1D"/>
    <w:rsid w:val="00994A73"/>
    <w:rsid w:val="009A2E91"/>
    <w:rsid w:val="009A37AB"/>
    <w:rsid w:val="009A61C6"/>
    <w:rsid w:val="009A63C0"/>
    <w:rsid w:val="009B092E"/>
    <w:rsid w:val="009B1B4E"/>
    <w:rsid w:val="009B1DA0"/>
    <w:rsid w:val="009B3652"/>
    <w:rsid w:val="009B63FF"/>
    <w:rsid w:val="009B6DF8"/>
    <w:rsid w:val="009B77B6"/>
    <w:rsid w:val="009C0A35"/>
    <w:rsid w:val="009C5222"/>
    <w:rsid w:val="009C6A3F"/>
    <w:rsid w:val="009D52DD"/>
    <w:rsid w:val="009D5D55"/>
    <w:rsid w:val="009D7594"/>
    <w:rsid w:val="009E04EF"/>
    <w:rsid w:val="009E4448"/>
    <w:rsid w:val="009E7C22"/>
    <w:rsid w:val="009E7D34"/>
    <w:rsid w:val="009F2747"/>
    <w:rsid w:val="009F44A8"/>
    <w:rsid w:val="009F6A5A"/>
    <w:rsid w:val="009F6C90"/>
    <w:rsid w:val="009F7D9D"/>
    <w:rsid w:val="00A00E78"/>
    <w:rsid w:val="00A1204B"/>
    <w:rsid w:val="00A12A1B"/>
    <w:rsid w:val="00A13362"/>
    <w:rsid w:val="00A1389E"/>
    <w:rsid w:val="00A15054"/>
    <w:rsid w:val="00A16150"/>
    <w:rsid w:val="00A171FF"/>
    <w:rsid w:val="00A20C83"/>
    <w:rsid w:val="00A20CD3"/>
    <w:rsid w:val="00A21AD4"/>
    <w:rsid w:val="00A22B6E"/>
    <w:rsid w:val="00A22D9F"/>
    <w:rsid w:val="00A304DF"/>
    <w:rsid w:val="00A30689"/>
    <w:rsid w:val="00A36713"/>
    <w:rsid w:val="00A36954"/>
    <w:rsid w:val="00A446FF"/>
    <w:rsid w:val="00A447C4"/>
    <w:rsid w:val="00A46777"/>
    <w:rsid w:val="00A46CFA"/>
    <w:rsid w:val="00A47724"/>
    <w:rsid w:val="00A53A1F"/>
    <w:rsid w:val="00A5492E"/>
    <w:rsid w:val="00A56A30"/>
    <w:rsid w:val="00A56EEF"/>
    <w:rsid w:val="00A62A2E"/>
    <w:rsid w:val="00A64D10"/>
    <w:rsid w:val="00A6567E"/>
    <w:rsid w:val="00A65775"/>
    <w:rsid w:val="00A65C89"/>
    <w:rsid w:val="00A7006A"/>
    <w:rsid w:val="00A7110D"/>
    <w:rsid w:val="00A7173D"/>
    <w:rsid w:val="00A73A16"/>
    <w:rsid w:val="00A752D3"/>
    <w:rsid w:val="00A75C2D"/>
    <w:rsid w:val="00A8064D"/>
    <w:rsid w:val="00A81003"/>
    <w:rsid w:val="00A824DC"/>
    <w:rsid w:val="00A82C3B"/>
    <w:rsid w:val="00A85F4B"/>
    <w:rsid w:val="00A90125"/>
    <w:rsid w:val="00A96DA7"/>
    <w:rsid w:val="00A976C6"/>
    <w:rsid w:val="00AA183A"/>
    <w:rsid w:val="00AA556A"/>
    <w:rsid w:val="00AA62D6"/>
    <w:rsid w:val="00AB1ECD"/>
    <w:rsid w:val="00AB44FE"/>
    <w:rsid w:val="00AB5FB6"/>
    <w:rsid w:val="00AB7235"/>
    <w:rsid w:val="00AC027C"/>
    <w:rsid w:val="00AC0F9B"/>
    <w:rsid w:val="00AC31B6"/>
    <w:rsid w:val="00AC4AE5"/>
    <w:rsid w:val="00AC5FA5"/>
    <w:rsid w:val="00AC634D"/>
    <w:rsid w:val="00AC69AA"/>
    <w:rsid w:val="00AD1C34"/>
    <w:rsid w:val="00AD3DE1"/>
    <w:rsid w:val="00AD400E"/>
    <w:rsid w:val="00AE0B2D"/>
    <w:rsid w:val="00AE5662"/>
    <w:rsid w:val="00AE65EA"/>
    <w:rsid w:val="00AF0C91"/>
    <w:rsid w:val="00AF1A15"/>
    <w:rsid w:val="00AF2795"/>
    <w:rsid w:val="00AF36BA"/>
    <w:rsid w:val="00AF3A17"/>
    <w:rsid w:val="00AF5961"/>
    <w:rsid w:val="00AF6FCB"/>
    <w:rsid w:val="00AF7FB5"/>
    <w:rsid w:val="00B0017E"/>
    <w:rsid w:val="00B065FB"/>
    <w:rsid w:val="00B067C6"/>
    <w:rsid w:val="00B10DBF"/>
    <w:rsid w:val="00B14C97"/>
    <w:rsid w:val="00B153CC"/>
    <w:rsid w:val="00B214B3"/>
    <w:rsid w:val="00B25756"/>
    <w:rsid w:val="00B301BF"/>
    <w:rsid w:val="00B30F60"/>
    <w:rsid w:val="00B324AB"/>
    <w:rsid w:val="00B33DA5"/>
    <w:rsid w:val="00B34DF8"/>
    <w:rsid w:val="00B34FB8"/>
    <w:rsid w:val="00B36D9A"/>
    <w:rsid w:val="00B37107"/>
    <w:rsid w:val="00B418AC"/>
    <w:rsid w:val="00B41B07"/>
    <w:rsid w:val="00B42DC3"/>
    <w:rsid w:val="00B45D3C"/>
    <w:rsid w:val="00B463F9"/>
    <w:rsid w:val="00B501D0"/>
    <w:rsid w:val="00B51A2F"/>
    <w:rsid w:val="00B53A9E"/>
    <w:rsid w:val="00B5628D"/>
    <w:rsid w:val="00B5722F"/>
    <w:rsid w:val="00B61EAA"/>
    <w:rsid w:val="00B629EF"/>
    <w:rsid w:val="00B62E4A"/>
    <w:rsid w:val="00B635C0"/>
    <w:rsid w:val="00B6392A"/>
    <w:rsid w:val="00B63E66"/>
    <w:rsid w:val="00B65299"/>
    <w:rsid w:val="00B65A8B"/>
    <w:rsid w:val="00B65EFD"/>
    <w:rsid w:val="00B70F72"/>
    <w:rsid w:val="00B738C8"/>
    <w:rsid w:val="00B74CC3"/>
    <w:rsid w:val="00B7501E"/>
    <w:rsid w:val="00B75CF7"/>
    <w:rsid w:val="00B80D27"/>
    <w:rsid w:val="00B81FBE"/>
    <w:rsid w:val="00B85019"/>
    <w:rsid w:val="00B9008D"/>
    <w:rsid w:val="00B926DD"/>
    <w:rsid w:val="00B92E72"/>
    <w:rsid w:val="00B92EC3"/>
    <w:rsid w:val="00B95FE7"/>
    <w:rsid w:val="00B96DE1"/>
    <w:rsid w:val="00BA11A6"/>
    <w:rsid w:val="00BA3CB3"/>
    <w:rsid w:val="00BA3E9B"/>
    <w:rsid w:val="00BA640D"/>
    <w:rsid w:val="00BA67B1"/>
    <w:rsid w:val="00BA6929"/>
    <w:rsid w:val="00BA7519"/>
    <w:rsid w:val="00BB1F24"/>
    <w:rsid w:val="00BB2298"/>
    <w:rsid w:val="00BB3152"/>
    <w:rsid w:val="00BB4D59"/>
    <w:rsid w:val="00BB535E"/>
    <w:rsid w:val="00BC350B"/>
    <w:rsid w:val="00BC3619"/>
    <w:rsid w:val="00BC4C7A"/>
    <w:rsid w:val="00BC72E5"/>
    <w:rsid w:val="00BD3BCB"/>
    <w:rsid w:val="00BD59F1"/>
    <w:rsid w:val="00BD666E"/>
    <w:rsid w:val="00BD68D2"/>
    <w:rsid w:val="00BD6B29"/>
    <w:rsid w:val="00BE0B6C"/>
    <w:rsid w:val="00BE2560"/>
    <w:rsid w:val="00BE4ED6"/>
    <w:rsid w:val="00BE5212"/>
    <w:rsid w:val="00BE54E1"/>
    <w:rsid w:val="00BE5B69"/>
    <w:rsid w:val="00BE6DE0"/>
    <w:rsid w:val="00BF1239"/>
    <w:rsid w:val="00BF24B5"/>
    <w:rsid w:val="00C01858"/>
    <w:rsid w:val="00C04C1E"/>
    <w:rsid w:val="00C05CE4"/>
    <w:rsid w:val="00C06E28"/>
    <w:rsid w:val="00C07F71"/>
    <w:rsid w:val="00C10055"/>
    <w:rsid w:val="00C102B9"/>
    <w:rsid w:val="00C112D1"/>
    <w:rsid w:val="00C127A3"/>
    <w:rsid w:val="00C1517F"/>
    <w:rsid w:val="00C17C13"/>
    <w:rsid w:val="00C201F7"/>
    <w:rsid w:val="00C205C2"/>
    <w:rsid w:val="00C221CA"/>
    <w:rsid w:val="00C246B6"/>
    <w:rsid w:val="00C25EA4"/>
    <w:rsid w:val="00C26633"/>
    <w:rsid w:val="00C27397"/>
    <w:rsid w:val="00C32B5B"/>
    <w:rsid w:val="00C34BEC"/>
    <w:rsid w:val="00C35044"/>
    <w:rsid w:val="00C35E28"/>
    <w:rsid w:val="00C36F33"/>
    <w:rsid w:val="00C36F4B"/>
    <w:rsid w:val="00C37ED8"/>
    <w:rsid w:val="00C476C8"/>
    <w:rsid w:val="00C53059"/>
    <w:rsid w:val="00C54182"/>
    <w:rsid w:val="00C55504"/>
    <w:rsid w:val="00C56808"/>
    <w:rsid w:val="00C603F0"/>
    <w:rsid w:val="00C60787"/>
    <w:rsid w:val="00C60887"/>
    <w:rsid w:val="00C61C95"/>
    <w:rsid w:val="00C64817"/>
    <w:rsid w:val="00C651E3"/>
    <w:rsid w:val="00C67519"/>
    <w:rsid w:val="00C675CB"/>
    <w:rsid w:val="00C675D4"/>
    <w:rsid w:val="00C72B34"/>
    <w:rsid w:val="00C73721"/>
    <w:rsid w:val="00C779E6"/>
    <w:rsid w:val="00C8223B"/>
    <w:rsid w:val="00C85BDA"/>
    <w:rsid w:val="00C912BF"/>
    <w:rsid w:val="00C914CB"/>
    <w:rsid w:val="00C91998"/>
    <w:rsid w:val="00C94644"/>
    <w:rsid w:val="00C94F81"/>
    <w:rsid w:val="00C9764C"/>
    <w:rsid w:val="00CA1285"/>
    <w:rsid w:val="00CA2DF5"/>
    <w:rsid w:val="00CB2888"/>
    <w:rsid w:val="00CB3B1D"/>
    <w:rsid w:val="00CB6812"/>
    <w:rsid w:val="00CC5AE2"/>
    <w:rsid w:val="00CC5DBF"/>
    <w:rsid w:val="00CD3282"/>
    <w:rsid w:val="00CD37F0"/>
    <w:rsid w:val="00CD5F29"/>
    <w:rsid w:val="00CD6C76"/>
    <w:rsid w:val="00CD6D2B"/>
    <w:rsid w:val="00CE0608"/>
    <w:rsid w:val="00CE0A1C"/>
    <w:rsid w:val="00CE1490"/>
    <w:rsid w:val="00CE270C"/>
    <w:rsid w:val="00CE4CD8"/>
    <w:rsid w:val="00CE70C6"/>
    <w:rsid w:val="00CE7561"/>
    <w:rsid w:val="00CE77A7"/>
    <w:rsid w:val="00CF210B"/>
    <w:rsid w:val="00CF4597"/>
    <w:rsid w:val="00CF56F3"/>
    <w:rsid w:val="00CF5CBA"/>
    <w:rsid w:val="00CF617C"/>
    <w:rsid w:val="00CF785A"/>
    <w:rsid w:val="00CF790E"/>
    <w:rsid w:val="00D00993"/>
    <w:rsid w:val="00D03102"/>
    <w:rsid w:val="00D04473"/>
    <w:rsid w:val="00D04657"/>
    <w:rsid w:val="00D0603E"/>
    <w:rsid w:val="00D069F9"/>
    <w:rsid w:val="00D06A5E"/>
    <w:rsid w:val="00D06BC4"/>
    <w:rsid w:val="00D0733C"/>
    <w:rsid w:val="00D07B1E"/>
    <w:rsid w:val="00D12DC5"/>
    <w:rsid w:val="00D13961"/>
    <w:rsid w:val="00D1490D"/>
    <w:rsid w:val="00D14A21"/>
    <w:rsid w:val="00D16048"/>
    <w:rsid w:val="00D20A02"/>
    <w:rsid w:val="00D251BB"/>
    <w:rsid w:val="00D260B1"/>
    <w:rsid w:val="00D3092D"/>
    <w:rsid w:val="00D311AF"/>
    <w:rsid w:val="00D31705"/>
    <w:rsid w:val="00D34DB7"/>
    <w:rsid w:val="00D4730B"/>
    <w:rsid w:val="00D51565"/>
    <w:rsid w:val="00D51DEB"/>
    <w:rsid w:val="00D528B4"/>
    <w:rsid w:val="00D606EB"/>
    <w:rsid w:val="00D60E29"/>
    <w:rsid w:val="00D61A4A"/>
    <w:rsid w:val="00D62703"/>
    <w:rsid w:val="00D62E81"/>
    <w:rsid w:val="00D63B3D"/>
    <w:rsid w:val="00D65580"/>
    <w:rsid w:val="00D70304"/>
    <w:rsid w:val="00D71DE4"/>
    <w:rsid w:val="00D73636"/>
    <w:rsid w:val="00D76A7E"/>
    <w:rsid w:val="00D81238"/>
    <w:rsid w:val="00D81523"/>
    <w:rsid w:val="00D81F2A"/>
    <w:rsid w:val="00D82A67"/>
    <w:rsid w:val="00D8561F"/>
    <w:rsid w:val="00D86378"/>
    <w:rsid w:val="00D86AE4"/>
    <w:rsid w:val="00D86B5E"/>
    <w:rsid w:val="00D915A3"/>
    <w:rsid w:val="00D92ACC"/>
    <w:rsid w:val="00D92FC0"/>
    <w:rsid w:val="00D9445D"/>
    <w:rsid w:val="00D96DE7"/>
    <w:rsid w:val="00DA0563"/>
    <w:rsid w:val="00DA13BB"/>
    <w:rsid w:val="00DB1D7B"/>
    <w:rsid w:val="00DB309A"/>
    <w:rsid w:val="00DB4C41"/>
    <w:rsid w:val="00DC4AF9"/>
    <w:rsid w:val="00DC778E"/>
    <w:rsid w:val="00DD0138"/>
    <w:rsid w:val="00DD0578"/>
    <w:rsid w:val="00DD17CD"/>
    <w:rsid w:val="00DD6042"/>
    <w:rsid w:val="00DD68E5"/>
    <w:rsid w:val="00DD721A"/>
    <w:rsid w:val="00DE1139"/>
    <w:rsid w:val="00DE209F"/>
    <w:rsid w:val="00DE26B8"/>
    <w:rsid w:val="00DE2F6A"/>
    <w:rsid w:val="00DE3A21"/>
    <w:rsid w:val="00DE5A2F"/>
    <w:rsid w:val="00DF04AA"/>
    <w:rsid w:val="00DF7153"/>
    <w:rsid w:val="00E009F4"/>
    <w:rsid w:val="00E00F0E"/>
    <w:rsid w:val="00E01233"/>
    <w:rsid w:val="00E01412"/>
    <w:rsid w:val="00E02467"/>
    <w:rsid w:val="00E06601"/>
    <w:rsid w:val="00E07917"/>
    <w:rsid w:val="00E13ACD"/>
    <w:rsid w:val="00E16978"/>
    <w:rsid w:val="00E20181"/>
    <w:rsid w:val="00E211E6"/>
    <w:rsid w:val="00E22B8D"/>
    <w:rsid w:val="00E23D58"/>
    <w:rsid w:val="00E259DF"/>
    <w:rsid w:val="00E265A3"/>
    <w:rsid w:val="00E27963"/>
    <w:rsid w:val="00E357A8"/>
    <w:rsid w:val="00E36675"/>
    <w:rsid w:val="00E37202"/>
    <w:rsid w:val="00E37F0C"/>
    <w:rsid w:val="00E42016"/>
    <w:rsid w:val="00E430B6"/>
    <w:rsid w:val="00E456D5"/>
    <w:rsid w:val="00E459EA"/>
    <w:rsid w:val="00E500BB"/>
    <w:rsid w:val="00E50FC0"/>
    <w:rsid w:val="00E51EB7"/>
    <w:rsid w:val="00E549FD"/>
    <w:rsid w:val="00E55229"/>
    <w:rsid w:val="00E569E7"/>
    <w:rsid w:val="00E615E9"/>
    <w:rsid w:val="00E6244F"/>
    <w:rsid w:val="00E62EA2"/>
    <w:rsid w:val="00E637C3"/>
    <w:rsid w:val="00E64B5C"/>
    <w:rsid w:val="00E65FC9"/>
    <w:rsid w:val="00E664E4"/>
    <w:rsid w:val="00E66B4E"/>
    <w:rsid w:val="00E66EE4"/>
    <w:rsid w:val="00E6770C"/>
    <w:rsid w:val="00E70FCE"/>
    <w:rsid w:val="00E725CE"/>
    <w:rsid w:val="00E734BA"/>
    <w:rsid w:val="00E73F3F"/>
    <w:rsid w:val="00E849CB"/>
    <w:rsid w:val="00E855CF"/>
    <w:rsid w:val="00E912B8"/>
    <w:rsid w:val="00E91F9B"/>
    <w:rsid w:val="00E92DBA"/>
    <w:rsid w:val="00EA0618"/>
    <w:rsid w:val="00EA1694"/>
    <w:rsid w:val="00EA2D1E"/>
    <w:rsid w:val="00EA6D07"/>
    <w:rsid w:val="00EB6935"/>
    <w:rsid w:val="00EC2D7F"/>
    <w:rsid w:val="00EC75A9"/>
    <w:rsid w:val="00EC7C69"/>
    <w:rsid w:val="00ED023E"/>
    <w:rsid w:val="00ED4EFF"/>
    <w:rsid w:val="00ED5184"/>
    <w:rsid w:val="00ED5E01"/>
    <w:rsid w:val="00ED7B85"/>
    <w:rsid w:val="00EE1331"/>
    <w:rsid w:val="00EE1964"/>
    <w:rsid w:val="00EE6F7D"/>
    <w:rsid w:val="00EE6FF7"/>
    <w:rsid w:val="00EF0E70"/>
    <w:rsid w:val="00EF2354"/>
    <w:rsid w:val="00EF7114"/>
    <w:rsid w:val="00F006EC"/>
    <w:rsid w:val="00F0204A"/>
    <w:rsid w:val="00F0260B"/>
    <w:rsid w:val="00F041F4"/>
    <w:rsid w:val="00F058FA"/>
    <w:rsid w:val="00F06102"/>
    <w:rsid w:val="00F062C7"/>
    <w:rsid w:val="00F07D6C"/>
    <w:rsid w:val="00F11690"/>
    <w:rsid w:val="00F11E16"/>
    <w:rsid w:val="00F11FFA"/>
    <w:rsid w:val="00F12DDB"/>
    <w:rsid w:val="00F13500"/>
    <w:rsid w:val="00F13641"/>
    <w:rsid w:val="00F21588"/>
    <w:rsid w:val="00F217E5"/>
    <w:rsid w:val="00F22B07"/>
    <w:rsid w:val="00F22DE8"/>
    <w:rsid w:val="00F24BC0"/>
    <w:rsid w:val="00F2568D"/>
    <w:rsid w:val="00F26DB7"/>
    <w:rsid w:val="00F30976"/>
    <w:rsid w:val="00F3293D"/>
    <w:rsid w:val="00F32C46"/>
    <w:rsid w:val="00F35D44"/>
    <w:rsid w:val="00F365E4"/>
    <w:rsid w:val="00F371AF"/>
    <w:rsid w:val="00F3725A"/>
    <w:rsid w:val="00F41300"/>
    <w:rsid w:val="00F41BEC"/>
    <w:rsid w:val="00F42348"/>
    <w:rsid w:val="00F42EFB"/>
    <w:rsid w:val="00F44218"/>
    <w:rsid w:val="00F4491A"/>
    <w:rsid w:val="00F44B91"/>
    <w:rsid w:val="00F5133F"/>
    <w:rsid w:val="00F5218D"/>
    <w:rsid w:val="00F53DFC"/>
    <w:rsid w:val="00F551C1"/>
    <w:rsid w:val="00F56507"/>
    <w:rsid w:val="00F572FC"/>
    <w:rsid w:val="00F602C8"/>
    <w:rsid w:val="00F60400"/>
    <w:rsid w:val="00F607E7"/>
    <w:rsid w:val="00F62337"/>
    <w:rsid w:val="00F628B5"/>
    <w:rsid w:val="00F630CF"/>
    <w:rsid w:val="00F63800"/>
    <w:rsid w:val="00F6423E"/>
    <w:rsid w:val="00F7067D"/>
    <w:rsid w:val="00F70B9A"/>
    <w:rsid w:val="00F71B13"/>
    <w:rsid w:val="00F73A11"/>
    <w:rsid w:val="00F74856"/>
    <w:rsid w:val="00F75548"/>
    <w:rsid w:val="00F76D29"/>
    <w:rsid w:val="00F8079F"/>
    <w:rsid w:val="00F833E5"/>
    <w:rsid w:val="00F869ED"/>
    <w:rsid w:val="00F908BB"/>
    <w:rsid w:val="00F94540"/>
    <w:rsid w:val="00F96C5E"/>
    <w:rsid w:val="00F96E65"/>
    <w:rsid w:val="00FA2AD4"/>
    <w:rsid w:val="00FA2C94"/>
    <w:rsid w:val="00FA3F60"/>
    <w:rsid w:val="00FA51D3"/>
    <w:rsid w:val="00FA6A52"/>
    <w:rsid w:val="00FB04F2"/>
    <w:rsid w:val="00FB1507"/>
    <w:rsid w:val="00FB2504"/>
    <w:rsid w:val="00FB39EB"/>
    <w:rsid w:val="00FB4FCD"/>
    <w:rsid w:val="00FB5A03"/>
    <w:rsid w:val="00FB7691"/>
    <w:rsid w:val="00FC0F49"/>
    <w:rsid w:val="00FC167B"/>
    <w:rsid w:val="00FC2C27"/>
    <w:rsid w:val="00FC34D3"/>
    <w:rsid w:val="00FC369A"/>
    <w:rsid w:val="00FC38C2"/>
    <w:rsid w:val="00FC3E90"/>
    <w:rsid w:val="00FC522F"/>
    <w:rsid w:val="00FD1763"/>
    <w:rsid w:val="00FD506A"/>
    <w:rsid w:val="00FD5F9B"/>
    <w:rsid w:val="00FE036A"/>
    <w:rsid w:val="00FE23C5"/>
    <w:rsid w:val="00FE3654"/>
    <w:rsid w:val="00FE36AD"/>
    <w:rsid w:val="00FE3D72"/>
    <w:rsid w:val="00FE4235"/>
    <w:rsid w:val="00FE5C81"/>
    <w:rsid w:val="00FF22AA"/>
    <w:rsid w:val="00FF3330"/>
    <w:rsid w:val="00FF4AB7"/>
    <w:rsid w:val="00FF558F"/>
    <w:rsid w:val="00FF5A90"/>
    <w:rsid w:val="00FF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0C2E0B"/>
  <w15:docId w15:val="{EFF2E391-9327-4D3B-8D74-392529EC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C84"/>
    <w:pPr>
      <w:jc w:val="both"/>
    </w:pPr>
    <w:rPr>
      <w:rFonts w:asciiTheme="minorHAnsi" w:hAnsiTheme="minorHAnsi" w:cstheme="minorHAnsi"/>
      <w:sz w:val="22"/>
      <w:szCs w:val="20"/>
    </w:rPr>
  </w:style>
  <w:style w:type="paragraph" w:styleId="Heading1">
    <w:name w:val="heading 1"/>
    <w:basedOn w:val="Normal"/>
    <w:next w:val="Normal"/>
    <w:link w:val="Heading1Char"/>
    <w:uiPriority w:val="9"/>
    <w:qFormat/>
    <w:rsid w:val="00261FC8"/>
    <w:pPr>
      <w:numPr>
        <w:numId w:val="1"/>
      </w:numPr>
      <w:shd w:val="clear" w:color="auto" w:fill="F3F3F3"/>
      <w:tabs>
        <w:tab w:val="clear" w:pos="1980"/>
        <w:tab w:val="num" w:pos="360"/>
      </w:tabs>
      <w:ind w:left="360"/>
      <w:outlineLvl w:val="0"/>
    </w:pPr>
    <w:rPr>
      <w:rFonts w:ascii="Times New Roman" w:hAnsi="Times New Roman" w:cs="Times New Roman"/>
      <w:b/>
      <w:bCs/>
      <w:kern w:val="32"/>
      <w:sz w:val="24"/>
      <w:szCs w:val="22"/>
    </w:rPr>
  </w:style>
  <w:style w:type="paragraph" w:styleId="Heading2">
    <w:name w:val="heading 2"/>
    <w:basedOn w:val="Heading1"/>
    <w:next w:val="Normal"/>
    <w:link w:val="Heading2Char"/>
    <w:uiPriority w:val="9"/>
    <w:qFormat/>
    <w:rsid w:val="000D3C84"/>
    <w:pPr>
      <w:numPr>
        <w:ilvl w:val="1"/>
      </w:numPr>
      <w:shd w:val="clear" w:color="auto" w:fill="auto"/>
      <w:outlineLvl w:val="1"/>
    </w:pPr>
    <w:rPr>
      <w:i/>
    </w:rPr>
  </w:style>
  <w:style w:type="paragraph" w:styleId="Heading3">
    <w:name w:val="heading 3"/>
    <w:next w:val="BodyText"/>
    <w:link w:val="Heading3Char"/>
    <w:uiPriority w:val="9"/>
    <w:qFormat/>
    <w:rsid w:val="00640199"/>
    <w:pPr>
      <w:keepNext/>
      <w:tabs>
        <w:tab w:val="left" w:pos="504"/>
      </w:tabs>
      <w:spacing w:before="360" w:after="60" w:line="300" w:lineRule="atLeast"/>
      <w:ind w:left="547" w:hanging="547"/>
      <w:outlineLvl w:val="2"/>
    </w:pPr>
    <w:rPr>
      <w:b/>
    </w:rPr>
  </w:style>
  <w:style w:type="paragraph" w:styleId="Heading4">
    <w:name w:val="heading 4"/>
    <w:next w:val="BodyText"/>
    <w:link w:val="Heading4Char"/>
    <w:qFormat/>
    <w:rsid w:val="00640199"/>
    <w:pPr>
      <w:keepNext/>
      <w:spacing w:before="360" w:after="60" w:line="300" w:lineRule="atLeast"/>
      <w:ind w:left="864" w:hanging="317"/>
      <w:outlineLvl w:val="3"/>
    </w:pPr>
    <w:rPr>
      <w:b/>
    </w:rPr>
  </w:style>
  <w:style w:type="paragraph" w:styleId="Heading5">
    <w:name w:val="heading 5"/>
    <w:basedOn w:val="Normal"/>
    <w:next w:val="Normal"/>
    <w:link w:val="Heading5Char"/>
    <w:unhideWhenUsed/>
    <w:qFormat/>
    <w:rsid w:val="0064019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next w:val="Normal"/>
    <w:link w:val="Heading6Char"/>
    <w:qFormat/>
    <w:rsid w:val="00640199"/>
    <w:pPr>
      <w:keepNext/>
      <w:pBdr>
        <w:bottom w:val="single" w:sz="2" w:space="4" w:color="auto"/>
      </w:pBdr>
      <w:spacing w:before="960" w:after="480" w:line="400" w:lineRule="atLeast"/>
      <w:ind w:left="504" w:right="504" w:hanging="504"/>
      <w:jc w:val="center"/>
      <w:outlineLvl w:val="5"/>
    </w:pPr>
    <w:rPr>
      <w:b/>
      <w:sz w:val="36"/>
      <w:szCs w:val="36"/>
    </w:rPr>
  </w:style>
  <w:style w:type="paragraph" w:styleId="Heading7">
    <w:name w:val="heading 7"/>
    <w:basedOn w:val="Normal"/>
    <w:next w:val="Normal"/>
    <w:link w:val="Heading7Char"/>
    <w:semiHidden/>
    <w:rsid w:val="00640199"/>
    <w:pPr>
      <w:keepNext/>
      <w:spacing w:before="360" w:after="60" w:line="300" w:lineRule="atLeast"/>
      <w:ind w:left="547" w:hanging="547"/>
      <w:jc w:val="left"/>
      <w:outlineLvl w:val="6"/>
    </w:pPr>
    <w:rPr>
      <w:rFonts w:ascii="Times New Roman" w:hAnsi="Times New Roman" w:cs="Times New Roman"/>
      <w:b/>
      <w:sz w:val="28"/>
      <w:szCs w:val="24"/>
    </w:rPr>
  </w:style>
  <w:style w:type="paragraph" w:styleId="Heading8">
    <w:name w:val="heading 8"/>
    <w:basedOn w:val="Normal"/>
    <w:next w:val="Normal"/>
    <w:link w:val="Heading8Char"/>
    <w:semiHidden/>
    <w:rsid w:val="00640199"/>
    <w:pPr>
      <w:keepLines/>
      <w:tabs>
        <w:tab w:val="num" w:pos="547"/>
      </w:tabs>
      <w:spacing w:before="360" w:after="60" w:line="300" w:lineRule="atLeast"/>
      <w:ind w:left="547" w:hanging="547"/>
      <w:jc w:val="left"/>
      <w:outlineLvl w:val="7"/>
    </w:pPr>
    <w:rPr>
      <w:rFonts w:ascii="Times New Roman" w:hAnsi="Times New Roman" w:cs="Times New Roman"/>
      <w:b/>
      <w:sz w:val="24"/>
      <w:szCs w:val="24"/>
    </w:rPr>
  </w:style>
  <w:style w:type="paragraph" w:styleId="Heading9">
    <w:name w:val="heading 9"/>
    <w:basedOn w:val="Heading8"/>
    <w:next w:val="Normal"/>
    <w:link w:val="Heading9Char"/>
    <w:semiHidden/>
    <w:rsid w:val="00640199"/>
    <w:pPr>
      <w:tabs>
        <w:tab w:val="clear" w:pos="547"/>
      </w:tabs>
      <w:ind w:left="864" w:hanging="31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FC8"/>
    <w:rPr>
      <w:b/>
      <w:bCs/>
      <w:kern w:val="32"/>
      <w:szCs w:val="22"/>
      <w:shd w:val="clear" w:color="auto" w:fill="F3F3F3"/>
    </w:rPr>
  </w:style>
  <w:style w:type="character" w:customStyle="1" w:styleId="Heading2Char">
    <w:name w:val="Heading 2 Char"/>
    <w:basedOn w:val="DefaultParagraphFont"/>
    <w:link w:val="Heading2"/>
    <w:rsid w:val="000D3C84"/>
    <w:rPr>
      <w:b/>
      <w:bCs/>
      <w:i/>
      <w:kern w:val="32"/>
      <w:szCs w:val="22"/>
    </w:rPr>
  </w:style>
  <w:style w:type="paragraph" w:styleId="Caption">
    <w:name w:val="caption"/>
    <w:basedOn w:val="Normal"/>
    <w:next w:val="Normal"/>
    <w:link w:val="CaptionChar"/>
    <w:uiPriority w:val="99"/>
    <w:qFormat/>
    <w:rsid w:val="006E1EC3"/>
    <w:pPr>
      <w:spacing w:before="120" w:after="120"/>
      <w:jc w:val="center"/>
    </w:pPr>
    <w:rPr>
      <w:b/>
      <w:bCs/>
      <w:sz w:val="20"/>
    </w:rPr>
  </w:style>
  <w:style w:type="character" w:styleId="Strong">
    <w:name w:val="Strong"/>
    <w:basedOn w:val="DefaultParagraphFont"/>
    <w:uiPriority w:val="99"/>
    <w:qFormat/>
    <w:rsid w:val="004732DD"/>
    <w:rPr>
      <w:b/>
      <w:bCs/>
    </w:rPr>
  </w:style>
  <w:style w:type="paragraph" w:styleId="ListParagraph">
    <w:name w:val="List Paragraph"/>
    <w:basedOn w:val="Normal"/>
    <w:uiPriority w:val="34"/>
    <w:qFormat/>
    <w:rsid w:val="004732DD"/>
    <w:pPr>
      <w:ind w:left="720"/>
    </w:pPr>
    <w:rPr>
      <w:rFonts w:ascii="Calibri" w:hAnsi="Calibri" w:cs="Calibri"/>
      <w:szCs w:val="22"/>
    </w:rPr>
  </w:style>
  <w:style w:type="character" w:styleId="SubtleEmphasis">
    <w:name w:val="Subtle Emphasis"/>
    <w:basedOn w:val="DefaultParagraphFont"/>
    <w:uiPriority w:val="19"/>
    <w:qFormat/>
    <w:rsid w:val="004732DD"/>
    <w:rPr>
      <w:i/>
      <w:iCs/>
      <w:color w:val="808080" w:themeColor="text1" w:themeTint="7F"/>
    </w:rPr>
  </w:style>
  <w:style w:type="character" w:styleId="IntenseEmphasis">
    <w:name w:val="Intense Emphasis"/>
    <w:basedOn w:val="DefaultParagraphFont"/>
    <w:uiPriority w:val="21"/>
    <w:qFormat/>
    <w:rsid w:val="004732DD"/>
    <w:rPr>
      <w:b/>
      <w:bCs/>
      <w:i/>
      <w:iCs/>
      <w:color w:val="4F81BD" w:themeColor="accent1"/>
    </w:rPr>
  </w:style>
  <w:style w:type="character" w:styleId="SubtleReference">
    <w:name w:val="Subtle Reference"/>
    <w:basedOn w:val="DefaultParagraphFont"/>
    <w:uiPriority w:val="31"/>
    <w:qFormat/>
    <w:rsid w:val="004732DD"/>
    <w:rPr>
      <w:smallCaps/>
      <w:color w:val="C0504D" w:themeColor="accent2"/>
      <w:u w:val="single"/>
    </w:rPr>
  </w:style>
  <w:style w:type="paragraph" w:styleId="Header">
    <w:name w:val="header"/>
    <w:basedOn w:val="Normal"/>
    <w:link w:val="HeaderChar"/>
    <w:rsid w:val="000530D4"/>
    <w:pPr>
      <w:tabs>
        <w:tab w:val="center" w:pos="4320"/>
        <w:tab w:val="right" w:pos="8640"/>
      </w:tabs>
    </w:pPr>
  </w:style>
  <w:style w:type="character" w:customStyle="1" w:styleId="HeaderChar">
    <w:name w:val="Header Char"/>
    <w:basedOn w:val="DefaultParagraphFont"/>
    <w:link w:val="Header"/>
    <w:rsid w:val="000530D4"/>
    <w:rPr>
      <w:szCs w:val="20"/>
    </w:rPr>
  </w:style>
  <w:style w:type="paragraph" w:styleId="Footer">
    <w:name w:val="footer"/>
    <w:basedOn w:val="Normal"/>
    <w:link w:val="FooterChar"/>
    <w:uiPriority w:val="99"/>
    <w:rsid w:val="000530D4"/>
    <w:pPr>
      <w:tabs>
        <w:tab w:val="center" w:pos="4320"/>
        <w:tab w:val="right" w:pos="8640"/>
      </w:tabs>
    </w:pPr>
  </w:style>
  <w:style w:type="character" w:customStyle="1" w:styleId="FooterChar">
    <w:name w:val="Footer Char"/>
    <w:basedOn w:val="DefaultParagraphFont"/>
    <w:link w:val="Footer"/>
    <w:uiPriority w:val="99"/>
    <w:rsid w:val="000530D4"/>
    <w:rPr>
      <w:szCs w:val="20"/>
    </w:rPr>
  </w:style>
  <w:style w:type="paragraph" w:styleId="FootnoteText">
    <w:name w:val="footnote text"/>
    <w:basedOn w:val="Normal"/>
    <w:link w:val="FootnoteTextChar"/>
    <w:semiHidden/>
    <w:rsid w:val="000530D4"/>
    <w:rPr>
      <w:sz w:val="18"/>
    </w:rPr>
  </w:style>
  <w:style w:type="character" w:customStyle="1" w:styleId="FootnoteTextChar">
    <w:name w:val="Footnote Text Char"/>
    <w:basedOn w:val="DefaultParagraphFont"/>
    <w:link w:val="FootnoteText"/>
    <w:semiHidden/>
    <w:rsid w:val="000530D4"/>
    <w:rPr>
      <w:sz w:val="18"/>
      <w:szCs w:val="20"/>
    </w:rPr>
  </w:style>
  <w:style w:type="character" w:styleId="FootnoteReference">
    <w:name w:val="footnote reference"/>
    <w:basedOn w:val="DefaultParagraphFont"/>
    <w:semiHidden/>
    <w:rsid w:val="000530D4"/>
    <w:rPr>
      <w:vertAlign w:val="superscript"/>
    </w:rPr>
  </w:style>
  <w:style w:type="paragraph" w:styleId="TOC1">
    <w:name w:val="toc 1"/>
    <w:basedOn w:val="Normal"/>
    <w:next w:val="Normal"/>
    <w:autoRedefine/>
    <w:uiPriority w:val="39"/>
    <w:rsid w:val="00A85F4B"/>
    <w:pPr>
      <w:tabs>
        <w:tab w:val="left" w:pos="446"/>
        <w:tab w:val="right" w:leader="dot" w:pos="9782"/>
      </w:tabs>
    </w:pPr>
    <w:rPr>
      <w:noProof/>
    </w:rPr>
  </w:style>
  <w:style w:type="character" w:styleId="Hyperlink">
    <w:name w:val="Hyperlink"/>
    <w:basedOn w:val="DefaultParagraphFont"/>
    <w:uiPriority w:val="99"/>
    <w:rsid w:val="00A85F4B"/>
    <w:rPr>
      <w:rFonts w:asciiTheme="minorHAnsi" w:hAnsiTheme="minorHAnsi" w:cstheme="minorHAnsi"/>
      <w:noProof/>
      <w:color w:val="0000FF"/>
      <w:u w:val="single"/>
    </w:rPr>
  </w:style>
  <w:style w:type="paragraph" w:styleId="TableofFigures">
    <w:name w:val="table of figures"/>
    <w:basedOn w:val="Normal"/>
    <w:next w:val="Normal"/>
    <w:uiPriority w:val="99"/>
    <w:rsid w:val="000530D4"/>
    <w:pPr>
      <w:ind w:left="480" w:hanging="480"/>
    </w:pPr>
  </w:style>
  <w:style w:type="paragraph" w:styleId="BalloonText">
    <w:name w:val="Balloon Text"/>
    <w:basedOn w:val="Normal"/>
    <w:link w:val="BalloonTextChar"/>
    <w:uiPriority w:val="99"/>
    <w:semiHidden/>
    <w:unhideWhenUsed/>
    <w:rsid w:val="000530D4"/>
    <w:rPr>
      <w:rFonts w:ascii="Tahoma" w:hAnsi="Tahoma" w:cs="Tahoma"/>
      <w:sz w:val="16"/>
      <w:szCs w:val="16"/>
    </w:rPr>
  </w:style>
  <w:style w:type="character" w:customStyle="1" w:styleId="BalloonTextChar">
    <w:name w:val="Balloon Text Char"/>
    <w:basedOn w:val="DefaultParagraphFont"/>
    <w:link w:val="BalloonText"/>
    <w:uiPriority w:val="99"/>
    <w:semiHidden/>
    <w:rsid w:val="000530D4"/>
    <w:rPr>
      <w:rFonts w:ascii="Tahoma" w:hAnsi="Tahoma" w:cs="Tahoma"/>
      <w:sz w:val="16"/>
      <w:szCs w:val="16"/>
    </w:rPr>
  </w:style>
  <w:style w:type="table" w:styleId="TableGrid">
    <w:name w:val="Table Grid"/>
    <w:basedOn w:val="TableNormal"/>
    <w:rsid w:val="00BC3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09C9"/>
    <w:pPr>
      <w:autoSpaceDE w:val="0"/>
      <w:autoSpaceDN w:val="0"/>
      <w:adjustRightInd w:val="0"/>
    </w:pPr>
    <w:rPr>
      <w:rFonts w:ascii="Cambria" w:hAnsi="Cambria" w:cs="Cambria"/>
      <w:color w:val="000000"/>
    </w:rPr>
  </w:style>
  <w:style w:type="paragraph" w:styleId="TOCHeading">
    <w:name w:val="TOC Heading"/>
    <w:basedOn w:val="Heading1"/>
    <w:next w:val="Normal"/>
    <w:uiPriority w:val="39"/>
    <w:unhideWhenUsed/>
    <w:qFormat/>
    <w:rsid w:val="00636B8D"/>
    <w:pPr>
      <w:keepLines/>
      <w:numPr>
        <w:numId w:val="0"/>
      </w:numPr>
      <w:shd w:val="clear" w:color="auto" w:fill="auto"/>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rsid w:val="00A85F4B"/>
    <w:pPr>
      <w:tabs>
        <w:tab w:val="left" w:pos="720"/>
        <w:tab w:val="left" w:pos="810"/>
        <w:tab w:val="right" w:leader="dot" w:pos="9782"/>
      </w:tabs>
      <w:ind w:left="446"/>
    </w:pPr>
    <w:rPr>
      <w:noProof/>
    </w:rPr>
  </w:style>
  <w:style w:type="character" w:customStyle="1" w:styleId="xn-person">
    <w:name w:val="xn-person"/>
    <w:basedOn w:val="DefaultParagraphFont"/>
    <w:rsid w:val="00AC31B6"/>
  </w:style>
  <w:style w:type="character" w:customStyle="1" w:styleId="xn-location">
    <w:name w:val="xn-location"/>
    <w:basedOn w:val="DefaultParagraphFont"/>
    <w:rsid w:val="00AC31B6"/>
  </w:style>
  <w:style w:type="paragraph" w:styleId="BodyText">
    <w:name w:val="Body Text"/>
    <w:basedOn w:val="Normal"/>
    <w:link w:val="BodyTextChar"/>
    <w:uiPriority w:val="99"/>
    <w:rsid w:val="00C26633"/>
    <w:pPr>
      <w:spacing w:after="240" w:line="240" w:lineRule="atLeast"/>
      <w:ind w:firstLine="360"/>
    </w:pPr>
    <w:rPr>
      <w:color w:val="000000"/>
      <w:sz w:val="24"/>
    </w:rPr>
  </w:style>
  <w:style w:type="character" w:customStyle="1" w:styleId="BodyTextChar">
    <w:name w:val="Body Text Char"/>
    <w:basedOn w:val="DefaultParagraphFont"/>
    <w:link w:val="BodyText"/>
    <w:uiPriority w:val="99"/>
    <w:rsid w:val="00C26633"/>
    <w:rPr>
      <w:color w:val="000000"/>
      <w:szCs w:val="20"/>
    </w:rPr>
  </w:style>
  <w:style w:type="paragraph" w:customStyle="1" w:styleId="exhibit">
    <w:name w:val="exhibit"/>
    <w:basedOn w:val="Caption"/>
    <w:link w:val="exhibitChar"/>
    <w:qFormat/>
    <w:rsid w:val="000D3C84"/>
    <w:pPr>
      <w:keepNext/>
      <w:keepLines/>
      <w:pBdr>
        <w:top w:val="single" w:sz="4" w:space="1" w:color="auto"/>
        <w:left w:val="single" w:sz="4" w:space="4" w:color="auto"/>
        <w:bottom w:val="single" w:sz="4" w:space="1" w:color="auto"/>
        <w:right w:val="single" w:sz="4" w:space="4" w:color="auto"/>
      </w:pBdr>
    </w:pPr>
  </w:style>
  <w:style w:type="paragraph" w:customStyle="1" w:styleId="ExhibitLeadIn">
    <w:name w:val="ExhibitLeadIn"/>
    <w:basedOn w:val="Normal"/>
    <w:link w:val="ExhibitLeadInChar"/>
    <w:qFormat/>
    <w:rsid w:val="0064458D"/>
    <w:pPr>
      <w:keepNext/>
      <w:keepLines/>
    </w:pPr>
  </w:style>
  <w:style w:type="character" w:customStyle="1" w:styleId="CaptionChar">
    <w:name w:val="Caption Char"/>
    <w:basedOn w:val="DefaultParagraphFont"/>
    <w:link w:val="Caption"/>
    <w:uiPriority w:val="99"/>
    <w:rsid w:val="000D3C84"/>
    <w:rPr>
      <w:rFonts w:asciiTheme="minorHAnsi" w:hAnsiTheme="minorHAnsi" w:cstheme="minorHAnsi"/>
      <w:b/>
      <w:bCs/>
      <w:sz w:val="20"/>
      <w:szCs w:val="20"/>
    </w:rPr>
  </w:style>
  <w:style w:type="character" w:customStyle="1" w:styleId="exhibitChar">
    <w:name w:val="exhibit Char"/>
    <w:basedOn w:val="CaptionChar"/>
    <w:link w:val="exhibit"/>
    <w:rsid w:val="000D3C84"/>
    <w:rPr>
      <w:rFonts w:asciiTheme="minorHAnsi" w:hAnsiTheme="minorHAnsi" w:cstheme="minorHAnsi"/>
      <w:b/>
      <w:bCs/>
      <w:sz w:val="20"/>
      <w:szCs w:val="20"/>
    </w:rPr>
  </w:style>
  <w:style w:type="character" w:customStyle="1" w:styleId="ExhibitLeadInChar">
    <w:name w:val="ExhibitLeadIn Char"/>
    <w:basedOn w:val="DefaultParagraphFont"/>
    <w:link w:val="ExhibitLeadIn"/>
    <w:rsid w:val="0064458D"/>
    <w:rPr>
      <w:rFonts w:asciiTheme="minorHAnsi" w:hAnsiTheme="minorHAnsi" w:cstheme="minorHAnsi"/>
      <w:sz w:val="22"/>
      <w:szCs w:val="20"/>
    </w:rPr>
  </w:style>
  <w:style w:type="paragraph" w:customStyle="1" w:styleId="listparagraph0">
    <w:name w:val="listparagraph0"/>
    <w:basedOn w:val="Normal"/>
    <w:uiPriority w:val="99"/>
    <w:rsid w:val="00631D8C"/>
    <w:pPr>
      <w:ind w:left="720"/>
      <w:jc w:val="left"/>
    </w:pPr>
    <w:rPr>
      <w:rFonts w:ascii="Calibri" w:eastAsiaTheme="minorHAnsi" w:hAnsi="Calibri" w:cs="Calibri"/>
      <w:szCs w:val="22"/>
    </w:rPr>
  </w:style>
  <w:style w:type="character" w:styleId="CommentReference">
    <w:name w:val="annotation reference"/>
    <w:basedOn w:val="DefaultParagraphFont"/>
    <w:uiPriority w:val="99"/>
    <w:semiHidden/>
    <w:unhideWhenUsed/>
    <w:rsid w:val="007C3335"/>
    <w:rPr>
      <w:sz w:val="18"/>
      <w:szCs w:val="18"/>
    </w:rPr>
  </w:style>
  <w:style w:type="paragraph" w:styleId="CommentText">
    <w:name w:val="annotation text"/>
    <w:basedOn w:val="Normal"/>
    <w:link w:val="CommentTextChar"/>
    <w:uiPriority w:val="99"/>
    <w:semiHidden/>
    <w:unhideWhenUsed/>
    <w:rsid w:val="007C3335"/>
    <w:rPr>
      <w:sz w:val="24"/>
      <w:szCs w:val="24"/>
    </w:rPr>
  </w:style>
  <w:style w:type="character" w:customStyle="1" w:styleId="CommentTextChar">
    <w:name w:val="Comment Text Char"/>
    <w:basedOn w:val="DefaultParagraphFont"/>
    <w:link w:val="CommentText"/>
    <w:uiPriority w:val="99"/>
    <w:semiHidden/>
    <w:rsid w:val="007C3335"/>
    <w:rPr>
      <w:rFonts w:asciiTheme="minorHAnsi" w:hAnsiTheme="minorHAnsi" w:cstheme="minorHAnsi"/>
    </w:rPr>
  </w:style>
  <w:style w:type="paragraph" w:styleId="CommentSubject">
    <w:name w:val="annotation subject"/>
    <w:basedOn w:val="CommentText"/>
    <w:next w:val="CommentText"/>
    <w:link w:val="CommentSubjectChar"/>
    <w:uiPriority w:val="99"/>
    <w:semiHidden/>
    <w:unhideWhenUsed/>
    <w:rsid w:val="007C3335"/>
    <w:rPr>
      <w:b/>
      <w:bCs/>
      <w:sz w:val="20"/>
      <w:szCs w:val="20"/>
    </w:rPr>
  </w:style>
  <w:style w:type="character" w:customStyle="1" w:styleId="CommentSubjectChar">
    <w:name w:val="Comment Subject Char"/>
    <w:basedOn w:val="CommentTextChar"/>
    <w:link w:val="CommentSubject"/>
    <w:uiPriority w:val="99"/>
    <w:semiHidden/>
    <w:rsid w:val="007C3335"/>
    <w:rPr>
      <w:rFonts w:asciiTheme="minorHAnsi" w:hAnsiTheme="minorHAnsi" w:cstheme="minorHAnsi"/>
      <w:b/>
      <w:bCs/>
      <w:sz w:val="20"/>
      <w:szCs w:val="20"/>
    </w:rPr>
  </w:style>
  <w:style w:type="paragraph" w:styleId="NormalWeb">
    <w:name w:val="Normal (Web)"/>
    <w:basedOn w:val="Normal"/>
    <w:uiPriority w:val="99"/>
    <w:unhideWhenUsed/>
    <w:rsid w:val="006C481F"/>
    <w:pPr>
      <w:spacing w:before="100" w:beforeAutospacing="1" w:after="100" w:afterAutospacing="1"/>
      <w:jc w:val="left"/>
    </w:pPr>
    <w:rPr>
      <w:rFonts w:ascii="Times New Roman" w:hAnsi="Times New Roman" w:cs="Times New Roman"/>
      <w:sz w:val="24"/>
      <w:szCs w:val="24"/>
    </w:rPr>
  </w:style>
  <w:style w:type="character" w:styleId="Emphasis">
    <w:name w:val="Emphasis"/>
    <w:uiPriority w:val="20"/>
    <w:qFormat/>
    <w:rsid w:val="00E259DF"/>
    <w:rPr>
      <w:i/>
      <w:iCs/>
    </w:rPr>
  </w:style>
  <w:style w:type="paragraph" w:styleId="Revision">
    <w:name w:val="Revision"/>
    <w:hidden/>
    <w:uiPriority w:val="99"/>
    <w:semiHidden/>
    <w:rsid w:val="0088772A"/>
    <w:rPr>
      <w:rFonts w:asciiTheme="minorHAnsi" w:hAnsiTheme="minorHAnsi" w:cstheme="minorHAnsi"/>
      <w:sz w:val="22"/>
      <w:szCs w:val="20"/>
    </w:rPr>
  </w:style>
  <w:style w:type="paragraph" w:styleId="PlainText">
    <w:name w:val="Plain Text"/>
    <w:basedOn w:val="Normal"/>
    <w:link w:val="PlainTextChar"/>
    <w:uiPriority w:val="99"/>
    <w:unhideWhenUsed/>
    <w:rsid w:val="006215EF"/>
    <w:pPr>
      <w:jc w:val="left"/>
    </w:pPr>
    <w:rPr>
      <w:rFonts w:ascii="Calibri" w:eastAsiaTheme="minorHAnsi" w:hAnsi="Calibri" w:cs="Consolas"/>
      <w:szCs w:val="21"/>
    </w:rPr>
  </w:style>
  <w:style w:type="character" w:customStyle="1" w:styleId="PlainTextChar">
    <w:name w:val="Plain Text Char"/>
    <w:basedOn w:val="DefaultParagraphFont"/>
    <w:link w:val="PlainText"/>
    <w:uiPriority w:val="99"/>
    <w:rsid w:val="006215EF"/>
    <w:rPr>
      <w:rFonts w:ascii="Calibri" w:eastAsiaTheme="minorHAnsi" w:hAnsi="Calibri" w:cs="Consolas"/>
      <w:sz w:val="22"/>
      <w:szCs w:val="21"/>
    </w:rPr>
  </w:style>
  <w:style w:type="character" w:styleId="FollowedHyperlink">
    <w:name w:val="FollowedHyperlink"/>
    <w:basedOn w:val="DefaultParagraphFont"/>
    <w:uiPriority w:val="99"/>
    <w:semiHidden/>
    <w:unhideWhenUsed/>
    <w:rsid w:val="00417E74"/>
    <w:rPr>
      <w:color w:val="800080" w:themeColor="followedHyperlink"/>
      <w:u w:val="single"/>
    </w:rPr>
  </w:style>
  <w:style w:type="character" w:customStyle="1" w:styleId="trigger">
    <w:name w:val="trigger"/>
    <w:basedOn w:val="DefaultParagraphFont"/>
    <w:rsid w:val="00751F70"/>
  </w:style>
  <w:style w:type="character" w:customStyle="1" w:styleId="apple-converted-space">
    <w:name w:val="apple-converted-space"/>
    <w:basedOn w:val="DefaultParagraphFont"/>
    <w:rsid w:val="00951F2D"/>
  </w:style>
  <w:style w:type="character" w:customStyle="1" w:styleId="Heading5Char">
    <w:name w:val="Heading 5 Char"/>
    <w:basedOn w:val="DefaultParagraphFont"/>
    <w:link w:val="Heading5"/>
    <w:uiPriority w:val="9"/>
    <w:semiHidden/>
    <w:rsid w:val="00640199"/>
    <w:rPr>
      <w:rFonts w:asciiTheme="majorHAnsi" w:eastAsiaTheme="majorEastAsia" w:hAnsiTheme="majorHAnsi" w:cstheme="majorBidi"/>
      <w:color w:val="243F60" w:themeColor="accent1" w:themeShade="7F"/>
      <w:sz w:val="22"/>
      <w:szCs w:val="20"/>
    </w:rPr>
  </w:style>
  <w:style w:type="character" w:customStyle="1" w:styleId="Heading3Char">
    <w:name w:val="Heading 3 Char"/>
    <w:basedOn w:val="DefaultParagraphFont"/>
    <w:link w:val="Heading3"/>
    <w:uiPriority w:val="9"/>
    <w:rsid w:val="00640199"/>
    <w:rPr>
      <w:b/>
    </w:rPr>
  </w:style>
  <w:style w:type="character" w:customStyle="1" w:styleId="Heading4Char">
    <w:name w:val="Heading 4 Char"/>
    <w:basedOn w:val="DefaultParagraphFont"/>
    <w:link w:val="Heading4"/>
    <w:rsid w:val="00640199"/>
    <w:rPr>
      <w:b/>
    </w:rPr>
  </w:style>
  <w:style w:type="character" w:customStyle="1" w:styleId="Heading6Char">
    <w:name w:val="Heading 6 Char"/>
    <w:basedOn w:val="DefaultParagraphFont"/>
    <w:link w:val="Heading6"/>
    <w:rsid w:val="00640199"/>
    <w:rPr>
      <w:b/>
      <w:sz w:val="36"/>
      <w:szCs w:val="36"/>
    </w:rPr>
  </w:style>
  <w:style w:type="character" w:customStyle="1" w:styleId="Heading7Char">
    <w:name w:val="Heading 7 Char"/>
    <w:basedOn w:val="DefaultParagraphFont"/>
    <w:link w:val="Heading7"/>
    <w:semiHidden/>
    <w:rsid w:val="00640199"/>
    <w:rPr>
      <w:b/>
      <w:sz w:val="28"/>
    </w:rPr>
  </w:style>
  <w:style w:type="character" w:customStyle="1" w:styleId="Heading8Char">
    <w:name w:val="Heading 8 Char"/>
    <w:basedOn w:val="DefaultParagraphFont"/>
    <w:link w:val="Heading8"/>
    <w:semiHidden/>
    <w:rsid w:val="00640199"/>
    <w:rPr>
      <w:b/>
    </w:rPr>
  </w:style>
  <w:style w:type="character" w:customStyle="1" w:styleId="Heading9Char">
    <w:name w:val="Heading 9 Char"/>
    <w:basedOn w:val="DefaultParagraphFont"/>
    <w:link w:val="Heading9"/>
    <w:semiHidden/>
    <w:rsid w:val="00640199"/>
    <w:rPr>
      <w:b/>
    </w:rPr>
  </w:style>
  <w:style w:type="numbering" w:customStyle="1" w:styleId="Outline">
    <w:name w:val="Outline"/>
    <w:uiPriority w:val="99"/>
    <w:rsid w:val="0064019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056">
      <w:bodyDiv w:val="1"/>
      <w:marLeft w:val="0"/>
      <w:marRight w:val="0"/>
      <w:marTop w:val="0"/>
      <w:marBottom w:val="0"/>
      <w:divBdr>
        <w:top w:val="none" w:sz="0" w:space="0" w:color="auto"/>
        <w:left w:val="none" w:sz="0" w:space="0" w:color="auto"/>
        <w:bottom w:val="none" w:sz="0" w:space="0" w:color="auto"/>
        <w:right w:val="none" w:sz="0" w:space="0" w:color="auto"/>
      </w:divBdr>
    </w:div>
    <w:div w:id="40785495">
      <w:bodyDiv w:val="1"/>
      <w:marLeft w:val="0"/>
      <w:marRight w:val="0"/>
      <w:marTop w:val="0"/>
      <w:marBottom w:val="0"/>
      <w:divBdr>
        <w:top w:val="none" w:sz="0" w:space="0" w:color="auto"/>
        <w:left w:val="none" w:sz="0" w:space="0" w:color="auto"/>
        <w:bottom w:val="none" w:sz="0" w:space="0" w:color="auto"/>
        <w:right w:val="none" w:sz="0" w:space="0" w:color="auto"/>
      </w:divBdr>
    </w:div>
    <w:div w:id="45569168">
      <w:bodyDiv w:val="1"/>
      <w:marLeft w:val="0"/>
      <w:marRight w:val="0"/>
      <w:marTop w:val="0"/>
      <w:marBottom w:val="0"/>
      <w:divBdr>
        <w:top w:val="none" w:sz="0" w:space="0" w:color="auto"/>
        <w:left w:val="none" w:sz="0" w:space="0" w:color="auto"/>
        <w:bottom w:val="none" w:sz="0" w:space="0" w:color="auto"/>
        <w:right w:val="none" w:sz="0" w:space="0" w:color="auto"/>
      </w:divBdr>
    </w:div>
    <w:div w:id="69277842">
      <w:bodyDiv w:val="1"/>
      <w:marLeft w:val="0"/>
      <w:marRight w:val="0"/>
      <w:marTop w:val="0"/>
      <w:marBottom w:val="0"/>
      <w:divBdr>
        <w:top w:val="none" w:sz="0" w:space="0" w:color="auto"/>
        <w:left w:val="none" w:sz="0" w:space="0" w:color="auto"/>
        <w:bottom w:val="none" w:sz="0" w:space="0" w:color="auto"/>
        <w:right w:val="none" w:sz="0" w:space="0" w:color="auto"/>
      </w:divBdr>
    </w:div>
    <w:div w:id="88474793">
      <w:bodyDiv w:val="1"/>
      <w:marLeft w:val="0"/>
      <w:marRight w:val="0"/>
      <w:marTop w:val="0"/>
      <w:marBottom w:val="0"/>
      <w:divBdr>
        <w:top w:val="none" w:sz="0" w:space="0" w:color="auto"/>
        <w:left w:val="none" w:sz="0" w:space="0" w:color="auto"/>
        <w:bottom w:val="none" w:sz="0" w:space="0" w:color="auto"/>
        <w:right w:val="none" w:sz="0" w:space="0" w:color="auto"/>
      </w:divBdr>
    </w:div>
    <w:div w:id="156845672">
      <w:bodyDiv w:val="1"/>
      <w:marLeft w:val="0"/>
      <w:marRight w:val="0"/>
      <w:marTop w:val="0"/>
      <w:marBottom w:val="0"/>
      <w:divBdr>
        <w:top w:val="none" w:sz="0" w:space="0" w:color="auto"/>
        <w:left w:val="none" w:sz="0" w:space="0" w:color="auto"/>
        <w:bottom w:val="none" w:sz="0" w:space="0" w:color="auto"/>
        <w:right w:val="none" w:sz="0" w:space="0" w:color="auto"/>
      </w:divBdr>
      <w:divsChild>
        <w:div w:id="2114783603">
          <w:marLeft w:val="0"/>
          <w:marRight w:val="0"/>
          <w:marTop w:val="0"/>
          <w:marBottom w:val="0"/>
          <w:divBdr>
            <w:top w:val="none" w:sz="0" w:space="0" w:color="auto"/>
            <w:left w:val="none" w:sz="0" w:space="0" w:color="auto"/>
            <w:bottom w:val="none" w:sz="0" w:space="0" w:color="auto"/>
            <w:right w:val="none" w:sz="0" w:space="0" w:color="auto"/>
          </w:divBdr>
          <w:divsChild>
            <w:div w:id="1928225495">
              <w:marLeft w:val="150"/>
              <w:marRight w:val="150"/>
              <w:marTop w:val="300"/>
              <w:marBottom w:val="600"/>
              <w:divBdr>
                <w:top w:val="none" w:sz="0" w:space="0" w:color="auto"/>
                <w:left w:val="none" w:sz="0" w:space="0" w:color="auto"/>
                <w:bottom w:val="none" w:sz="0" w:space="0" w:color="auto"/>
                <w:right w:val="none" w:sz="0" w:space="0" w:color="auto"/>
              </w:divBdr>
              <w:divsChild>
                <w:div w:id="116723536">
                  <w:marLeft w:val="150"/>
                  <w:marRight w:val="150"/>
                  <w:marTop w:val="0"/>
                  <w:marBottom w:val="0"/>
                  <w:divBdr>
                    <w:top w:val="none" w:sz="0" w:space="0" w:color="auto"/>
                    <w:left w:val="none" w:sz="0" w:space="0" w:color="auto"/>
                    <w:bottom w:val="none" w:sz="0" w:space="0" w:color="auto"/>
                    <w:right w:val="none" w:sz="0" w:space="0" w:color="auto"/>
                  </w:divBdr>
                  <w:divsChild>
                    <w:div w:id="1305044799">
                      <w:marLeft w:val="0"/>
                      <w:marRight w:val="0"/>
                      <w:marTop w:val="0"/>
                      <w:marBottom w:val="0"/>
                      <w:divBdr>
                        <w:top w:val="none" w:sz="0" w:space="0" w:color="auto"/>
                        <w:left w:val="none" w:sz="0" w:space="0" w:color="auto"/>
                        <w:bottom w:val="none" w:sz="0" w:space="0" w:color="auto"/>
                        <w:right w:val="none" w:sz="0" w:space="0" w:color="auto"/>
                      </w:divBdr>
                      <w:divsChild>
                        <w:div w:id="19691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37293">
      <w:bodyDiv w:val="1"/>
      <w:marLeft w:val="0"/>
      <w:marRight w:val="0"/>
      <w:marTop w:val="0"/>
      <w:marBottom w:val="0"/>
      <w:divBdr>
        <w:top w:val="none" w:sz="0" w:space="0" w:color="auto"/>
        <w:left w:val="none" w:sz="0" w:space="0" w:color="auto"/>
        <w:bottom w:val="none" w:sz="0" w:space="0" w:color="auto"/>
        <w:right w:val="none" w:sz="0" w:space="0" w:color="auto"/>
      </w:divBdr>
    </w:div>
    <w:div w:id="178859180">
      <w:bodyDiv w:val="1"/>
      <w:marLeft w:val="0"/>
      <w:marRight w:val="0"/>
      <w:marTop w:val="0"/>
      <w:marBottom w:val="0"/>
      <w:divBdr>
        <w:top w:val="none" w:sz="0" w:space="0" w:color="auto"/>
        <w:left w:val="none" w:sz="0" w:space="0" w:color="auto"/>
        <w:bottom w:val="none" w:sz="0" w:space="0" w:color="auto"/>
        <w:right w:val="none" w:sz="0" w:space="0" w:color="auto"/>
      </w:divBdr>
    </w:div>
    <w:div w:id="236867080">
      <w:bodyDiv w:val="1"/>
      <w:marLeft w:val="0"/>
      <w:marRight w:val="0"/>
      <w:marTop w:val="0"/>
      <w:marBottom w:val="0"/>
      <w:divBdr>
        <w:top w:val="none" w:sz="0" w:space="0" w:color="auto"/>
        <w:left w:val="none" w:sz="0" w:space="0" w:color="auto"/>
        <w:bottom w:val="none" w:sz="0" w:space="0" w:color="auto"/>
        <w:right w:val="none" w:sz="0" w:space="0" w:color="auto"/>
      </w:divBdr>
    </w:div>
    <w:div w:id="311061751">
      <w:bodyDiv w:val="1"/>
      <w:marLeft w:val="0"/>
      <w:marRight w:val="0"/>
      <w:marTop w:val="0"/>
      <w:marBottom w:val="0"/>
      <w:divBdr>
        <w:top w:val="none" w:sz="0" w:space="0" w:color="auto"/>
        <w:left w:val="none" w:sz="0" w:space="0" w:color="auto"/>
        <w:bottom w:val="none" w:sz="0" w:space="0" w:color="auto"/>
        <w:right w:val="none" w:sz="0" w:space="0" w:color="auto"/>
      </w:divBdr>
    </w:div>
    <w:div w:id="389961572">
      <w:bodyDiv w:val="1"/>
      <w:marLeft w:val="0"/>
      <w:marRight w:val="0"/>
      <w:marTop w:val="0"/>
      <w:marBottom w:val="0"/>
      <w:divBdr>
        <w:top w:val="none" w:sz="0" w:space="0" w:color="auto"/>
        <w:left w:val="none" w:sz="0" w:space="0" w:color="auto"/>
        <w:bottom w:val="none" w:sz="0" w:space="0" w:color="auto"/>
        <w:right w:val="none" w:sz="0" w:space="0" w:color="auto"/>
      </w:divBdr>
    </w:div>
    <w:div w:id="397629538">
      <w:bodyDiv w:val="1"/>
      <w:marLeft w:val="0"/>
      <w:marRight w:val="0"/>
      <w:marTop w:val="0"/>
      <w:marBottom w:val="0"/>
      <w:divBdr>
        <w:top w:val="none" w:sz="0" w:space="0" w:color="auto"/>
        <w:left w:val="none" w:sz="0" w:space="0" w:color="auto"/>
        <w:bottom w:val="none" w:sz="0" w:space="0" w:color="auto"/>
        <w:right w:val="none" w:sz="0" w:space="0" w:color="auto"/>
      </w:divBdr>
    </w:div>
    <w:div w:id="414209444">
      <w:bodyDiv w:val="1"/>
      <w:marLeft w:val="0"/>
      <w:marRight w:val="0"/>
      <w:marTop w:val="0"/>
      <w:marBottom w:val="0"/>
      <w:divBdr>
        <w:top w:val="none" w:sz="0" w:space="0" w:color="auto"/>
        <w:left w:val="none" w:sz="0" w:space="0" w:color="auto"/>
        <w:bottom w:val="none" w:sz="0" w:space="0" w:color="auto"/>
        <w:right w:val="none" w:sz="0" w:space="0" w:color="auto"/>
      </w:divBdr>
    </w:div>
    <w:div w:id="425425519">
      <w:bodyDiv w:val="1"/>
      <w:marLeft w:val="0"/>
      <w:marRight w:val="0"/>
      <w:marTop w:val="0"/>
      <w:marBottom w:val="0"/>
      <w:divBdr>
        <w:top w:val="none" w:sz="0" w:space="0" w:color="auto"/>
        <w:left w:val="none" w:sz="0" w:space="0" w:color="auto"/>
        <w:bottom w:val="none" w:sz="0" w:space="0" w:color="auto"/>
        <w:right w:val="none" w:sz="0" w:space="0" w:color="auto"/>
      </w:divBdr>
    </w:div>
    <w:div w:id="465047568">
      <w:bodyDiv w:val="1"/>
      <w:marLeft w:val="0"/>
      <w:marRight w:val="0"/>
      <w:marTop w:val="0"/>
      <w:marBottom w:val="0"/>
      <w:divBdr>
        <w:top w:val="none" w:sz="0" w:space="0" w:color="auto"/>
        <w:left w:val="none" w:sz="0" w:space="0" w:color="auto"/>
        <w:bottom w:val="none" w:sz="0" w:space="0" w:color="auto"/>
        <w:right w:val="none" w:sz="0" w:space="0" w:color="auto"/>
      </w:divBdr>
    </w:div>
    <w:div w:id="469519557">
      <w:bodyDiv w:val="1"/>
      <w:marLeft w:val="0"/>
      <w:marRight w:val="0"/>
      <w:marTop w:val="0"/>
      <w:marBottom w:val="0"/>
      <w:divBdr>
        <w:top w:val="none" w:sz="0" w:space="0" w:color="auto"/>
        <w:left w:val="none" w:sz="0" w:space="0" w:color="auto"/>
        <w:bottom w:val="none" w:sz="0" w:space="0" w:color="auto"/>
        <w:right w:val="none" w:sz="0" w:space="0" w:color="auto"/>
      </w:divBdr>
    </w:div>
    <w:div w:id="491222476">
      <w:bodyDiv w:val="1"/>
      <w:marLeft w:val="0"/>
      <w:marRight w:val="0"/>
      <w:marTop w:val="0"/>
      <w:marBottom w:val="0"/>
      <w:divBdr>
        <w:top w:val="none" w:sz="0" w:space="0" w:color="auto"/>
        <w:left w:val="none" w:sz="0" w:space="0" w:color="auto"/>
        <w:bottom w:val="none" w:sz="0" w:space="0" w:color="auto"/>
        <w:right w:val="none" w:sz="0" w:space="0" w:color="auto"/>
      </w:divBdr>
    </w:div>
    <w:div w:id="493491448">
      <w:bodyDiv w:val="1"/>
      <w:marLeft w:val="0"/>
      <w:marRight w:val="0"/>
      <w:marTop w:val="0"/>
      <w:marBottom w:val="0"/>
      <w:divBdr>
        <w:top w:val="none" w:sz="0" w:space="0" w:color="auto"/>
        <w:left w:val="none" w:sz="0" w:space="0" w:color="auto"/>
        <w:bottom w:val="none" w:sz="0" w:space="0" w:color="auto"/>
        <w:right w:val="none" w:sz="0" w:space="0" w:color="auto"/>
      </w:divBdr>
    </w:div>
    <w:div w:id="504783834">
      <w:bodyDiv w:val="1"/>
      <w:marLeft w:val="0"/>
      <w:marRight w:val="0"/>
      <w:marTop w:val="0"/>
      <w:marBottom w:val="0"/>
      <w:divBdr>
        <w:top w:val="none" w:sz="0" w:space="0" w:color="auto"/>
        <w:left w:val="none" w:sz="0" w:space="0" w:color="auto"/>
        <w:bottom w:val="none" w:sz="0" w:space="0" w:color="auto"/>
        <w:right w:val="none" w:sz="0" w:space="0" w:color="auto"/>
      </w:divBdr>
    </w:div>
    <w:div w:id="523907360">
      <w:bodyDiv w:val="1"/>
      <w:marLeft w:val="0"/>
      <w:marRight w:val="0"/>
      <w:marTop w:val="0"/>
      <w:marBottom w:val="0"/>
      <w:divBdr>
        <w:top w:val="none" w:sz="0" w:space="0" w:color="auto"/>
        <w:left w:val="none" w:sz="0" w:space="0" w:color="auto"/>
        <w:bottom w:val="none" w:sz="0" w:space="0" w:color="auto"/>
        <w:right w:val="none" w:sz="0" w:space="0" w:color="auto"/>
      </w:divBdr>
    </w:div>
    <w:div w:id="524944362">
      <w:bodyDiv w:val="1"/>
      <w:marLeft w:val="0"/>
      <w:marRight w:val="0"/>
      <w:marTop w:val="0"/>
      <w:marBottom w:val="0"/>
      <w:divBdr>
        <w:top w:val="none" w:sz="0" w:space="0" w:color="auto"/>
        <w:left w:val="none" w:sz="0" w:space="0" w:color="auto"/>
        <w:bottom w:val="none" w:sz="0" w:space="0" w:color="auto"/>
        <w:right w:val="none" w:sz="0" w:space="0" w:color="auto"/>
      </w:divBdr>
    </w:div>
    <w:div w:id="529534512">
      <w:bodyDiv w:val="1"/>
      <w:marLeft w:val="0"/>
      <w:marRight w:val="0"/>
      <w:marTop w:val="0"/>
      <w:marBottom w:val="0"/>
      <w:divBdr>
        <w:top w:val="none" w:sz="0" w:space="0" w:color="auto"/>
        <w:left w:val="none" w:sz="0" w:space="0" w:color="auto"/>
        <w:bottom w:val="none" w:sz="0" w:space="0" w:color="auto"/>
        <w:right w:val="none" w:sz="0" w:space="0" w:color="auto"/>
      </w:divBdr>
    </w:div>
    <w:div w:id="534125026">
      <w:bodyDiv w:val="1"/>
      <w:marLeft w:val="0"/>
      <w:marRight w:val="0"/>
      <w:marTop w:val="0"/>
      <w:marBottom w:val="0"/>
      <w:divBdr>
        <w:top w:val="none" w:sz="0" w:space="0" w:color="auto"/>
        <w:left w:val="none" w:sz="0" w:space="0" w:color="auto"/>
        <w:bottom w:val="none" w:sz="0" w:space="0" w:color="auto"/>
        <w:right w:val="none" w:sz="0" w:space="0" w:color="auto"/>
      </w:divBdr>
    </w:div>
    <w:div w:id="555358850">
      <w:bodyDiv w:val="1"/>
      <w:marLeft w:val="0"/>
      <w:marRight w:val="0"/>
      <w:marTop w:val="0"/>
      <w:marBottom w:val="0"/>
      <w:divBdr>
        <w:top w:val="none" w:sz="0" w:space="0" w:color="auto"/>
        <w:left w:val="none" w:sz="0" w:space="0" w:color="auto"/>
        <w:bottom w:val="none" w:sz="0" w:space="0" w:color="auto"/>
        <w:right w:val="none" w:sz="0" w:space="0" w:color="auto"/>
      </w:divBdr>
    </w:div>
    <w:div w:id="569577695">
      <w:bodyDiv w:val="1"/>
      <w:marLeft w:val="0"/>
      <w:marRight w:val="0"/>
      <w:marTop w:val="0"/>
      <w:marBottom w:val="0"/>
      <w:divBdr>
        <w:top w:val="none" w:sz="0" w:space="0" w:color="auto"/>
        <w:left w:val="none" w:sz="0" w:space="0" w:color="auto"/>
        <w:bottom w:val="none" w:sz="0" w:space="0" w:color="auto"/>
        <w:right w:val="none" w:sz="0" w:space="0" w:color="auto"/>
      </w:divBdr>
    </w:div>
    <w:div w:id="587732384">
      <w:bodyDiv w:val="1"/>
      <w:marLeft w:val="0"/>
      <w:marRight w:val="0"/>
      <w:marTop w:val="0"/>
      <w:marBottom w:val="0"/>
      <w:divBdr>
        <w:top w:val="none" w:sz="0" w:space="0" w:color="auto"/>
        <w:left w:val="none" w:sz="0" w:space="0" w:color="auto"/>
        <w:bottom w:val="none" w:sz="0" w:space="0" w:color="auto"/>
        <w:right w:val="none" w:sz="0" w:space="0" w:color="auto"/>
      </w:divBdr>
    </w:div>
    <w:div w:id="593973376">
      <w:bodyDiv w:val="1"/>
      <w:marLeft w:val="0"/>
      <w:marRight w:val="0"/>
      <w:marTop w:val="0"/>
      <w:marBottom w:val="0"/>
      <w:divBdr>
        <w:top w:val="none" w:sz="0" w:space="0" w:color="auto"/>
        <w:left w:val="none" w:sz="0" w:space="0" w:color="auto"/>
        <w:bottom w:val="none" w:sz="0" w:space="0" w:color="auto"/>
        <w:right w:val="none" w:sz="0" w:space="0" w:color="auto"/>
      </w:divBdr>
    </w:div>
    <w:div w:id="606737933">
      <w:bodyDiv w:val="1"/>
      <w:marLeft w:val="0"/>
      <w:marRight w:val="0"/>
      <w:marTop w:val="0"/>
      <w:marBottom w:val="0"/>
      <w:divBdr>
        <w:top w:val="none" w:sz="0" w:space="0" w:color="auto"/>
        <w:left w:val="none" w:sz="0" w:space="0" w:color="auto"/>
        <w:bottom w:val="none" w:sz="0" w:space="0" w:color="auto"/>
        <w:right w:val="none" w:sz="0" w:space="0" w:color="auto"/>
      </w:divBdr>
    </w:div>
    <w:div w:id="671418058">
      <w:bodyDiv w:val="1"/>
      <w:marLeft w:val="0"/>
      <w:marRight w:val="0"/>
      <w:marTop w:val="0"/>
      <w:marBottom w:val="0"/>
      <w:divBdr>
        <w:top w:val="none" w:sz="0" w:space="0" w:color="auto"/>
        <w:left w:val="none" w:sz="0" w:space="0" w:color="auto"/>
        <w:bottom w:val="none" w:sz="0" w:space="0" w:color="auto"/>
        <w:right w:val="none" w:sz="0" w:space="0" w:color="auto"/>
      </w:divBdr>
    </w:div>
    <w:div w:id="713890413">
      <w:bodyDiv w:val="1"/>
      <w:marLeft w:val="0"/>
      <w:marRight w:val="0"/>
      <w:marTop w:val="0"/>
      <w:marBottom w:val="0"/>
      <w:divBdr>
        <w:top w:val="none" w:sz="0" w:space="0" w:color="auto"/>
        <w:left w:val="none" w:sz="0" w:space="0" w:color="auto"/>
        <w:bottom w:val="none" w:sz="0" w:space="0" w:color="auto"/>
        <w:right w:val="none" w:sz="0" w:space="0" w:color="auto"/>
      </w:divBdr>
    </w:div>
    <w:div w:id="748963776">
      <w:bodyDiv w:val="1"/>
      <w:marLeft w:val="0"/>
      <w:marRight w:val="0"/>
      <w:marTop w:val="0"/>
      <w:marBottom w:val="0"/>
      <w:divBdr>
        <w:top w:val="none" w:sz="0" w:space="0" w:color="auto"/>
        <w:left w:val="none" w:sz="0" w:space="0" w:color="auto"/>
        <w:bottom w:val="none" w:sz="0" w:space="0" w:color="auto"/>
        <w:right w:val="none" w:sz="0" w:space="0" w:color="auto"/>
      </w:divBdr>
    </w:div>
    <w:div w:id="761994953">
      <w:bodyDiv w:val="1"/>
      <w:marLeft w:val="0"/>
      <w:marRight w:val="0"/>
      <w:marTop w:val="0"/>
      <w:marBottom w:val="0"/>
      <w:divBdr>
        <w:top w:val="none" w:sz="0" w:space="0" w:color="auto"/>
        <w:left w:val="none" w:sz="0" w:space="0" w:color="auto"/>
        <w:bottom w:val="none" w:sz="0" w:space="0" w:color="auto"/>
        <w:right w:val="none" w:sz="0" w:space="0" w:color="auto"/>
      </w:divBdr>
    </w:div>
    <w:div w:id="843670014">
      <w:bodyDiv w:val="1"/>
      <w:marLeft w:val="0"/>
      <w:marRight w:val="0"/>
      <w:marTop w:val="0"/>
      <w:marBottom w:val="0"/>
      <w:divBdr>
        <w:top w:val="none" w:sz="0" w:space="0" w:color="auto"/>
        <w:left w:val="none" w:sz="0" w:space="0" w:color="auto"/>
        <w:bottom w:val="none" w:sz="0" w:space="0" w:color="auto"/>
        <w:right w:val="none" w:sz="0" w:space="0" w:color="auto"/>
      </w:divBdr>
    </w:div>
    <w:div w:id="853501100">
      <w:bodyDiv w:val="1"/>
      <w:marLeft w:val="0"/>
      <w:marRight w:val="0"/>
      <w:marTop w:val="0"/>
      <w:marBottom w:val="0"/>
      <w:divBdr>
        <w:top w:val="none" w:sz="0" w:space="0" w:color="auto"/>
        <w:left w:val="none" w:sz="0" w:space="0" w:color="auto"/>
        <w:bottom w:val="none" w:sz="0" w:space="0" w:color="auto"/>
        <w:right w:val="none" w:sz="0" w:space="0" w:color="auto"/>
      </w:divBdr>
    </w:div>
    <w:div w:id="863130592">
      <w:bodyDiv w:val="1"/>
      <w:marLeft w:val="0"/>
      <w:marRight w:val="0"/>
      <w:marTop w:val="0"/>
      <w:marBottom w:val="0"/>
      <w:divBdr>
        <w:top w:val="none" w:sz="0" w:space="0" w:color="auto"/>
        <w:left w:val="none" w:sz="0" w:space="0" w:color="auto"/>
        <w:bottom w:val="none" w:sz="0" w:space="0" w:color="auto"/>
        <w:right w:val="none" w:sz="0" w:space="0" w:color="auto"/>
      </w:divBdr>
    </w:div>
    <w:div w:id="1052969669">
      <w:bodyDiv w:val="1"/>
      <w:marLeft w:val="0"/>
      <w:marRight w:val="0"/>
      <w:marTop w:val="0"/>
      <w:marBottom w:val="0"/>
      <w:divBdr>
        <w:top w:val="none" w:sz="0" w:space="0" w:color="auto"/>
        <w:left w:val="none" w:sz="0" w:space="0" w:color="auto"/>
        <w:bottom w:val="none" w:sz="0" w:space="0" w:color="auto"/>
        <w:right w:val="none" w:sz="0" w:space="0" w:color="auto"/>
      </w:divBdr>
    </w:div>
    <w:div w:id="1074594564">
      <w:bodyDiv w:val="1"/>
      <w:marLeft w:val="0"/>
      <w:marRight w:val="0"/>
      <w:marTop w:val="0"/>
      <w:marBottom w:val="0"/>
      <w:divBdr>
        <w:top w:val="none" w:sz="0" w:space="0" w:color="auto"/>
        <w:left w:val="none" w:sz="0" w:space="0" w:color="auto"/>
        <w:bottom w:val="none" w:sz="0" w:space="0" w:color="auto"/>
        <w:right w:val="none" w:sz="0" w:space="0" w:color="auto"/>
      </w:divBdr>
    </w:div>
    <w:div w:id="1097870901">
      <w:bodyDiv w:val="1"/>
      <w:marLeft w:val="0"/>
      <w:marRight w:val="0"/>
      <w:marTop w:val="0"/>
      <w:marBottom w:val="0"/>
      <w:divBdr>
        <w:top w:val="none" w:sz="0" w:space="0" w:color="auto"/>
        <w:left w:val="none" w:sz="0" w:space="0" w:color="auto"/>
        <w:bottom w:val="none" w:sz="0" w:space="0" w:color="auto"/>
        <w:right w:val="none" w:sz="0" w:space="0" w:color="auto"/>
      </w:divBdr>
    </w:div>
    <w:div w:id="1135299496">
      <w:bodyDiv w:val="1"/>
      <w:marLeft w:val="0"/>
      <w:marRight w:val="0"/>
      <w:marTop w:val="0"/>
      <w:marBottom w:val="0"/>
      <w:divBdr>
        <w:top w:val="none" w:sz="0" w:space="0" w:color="auto"/>
        <w:left w:val="none" w:sz="0" w:space="0" w:color="auto"/>
        <w:bottom w:val="none" w:sz="0" w:space="0" w:color="auto"/>
        <w:right w:val="none" w:sz="0" w:space="0" w:color="auto"/>
      </w:divBdr>
    </w:div>
    <w:div w:id="1139691766">
      <w:bodyDiv w:val="1"/>
      <w:marLeft w:val="0"/>
      <w:marRight w:val="0"/>
      <w:marTop w:val="0"/>
      <w:marBottom w:val="0"/>
      <w:divBdr>
        <w:top w:val="none" w:sz="0" w:space="0" w:color="auto"/>
        <w:left w:val="none" w:sz="0" w:space="0" w:color="auto"/>
        <w:bottom w:val="none" w:sz="0" w:space="0" w:color="auto"/>
        <w:right w:val="none" w:sz="0" w:space="0" w:color="auto"/>
      </w:divBdr>
    </w:div>
    <w:div w:id="1163276659">
      <w:bodyDiv w:val="1"/>
      <w:marLeft w:val="0"/>
      <w:marRight w:val="0"/>
      <w:marTop w:val="0"/>
      <w:marBottom w:val="0"/>
      <w:divBdr>
        <w:top w:val="none" w:sz="0" w:space="0" w:color="auto"/>
        <w:left w:val="none" w:sz="0" w:space="0" w:color="auto"/>
        <w:bottom w:val="none" w:sz="0" w:space="0" w:color="auto"/>
        <w:right w:val="none" w:sz="0" w:space="0" w:color="auto"/>
      </w:divBdr>
    </w:div>
    <w:div w:id="1171287537">
      <w:bodyDiv w:val="1"/>
      <w:marLeft w:val="0"/>
      <w:marRight w:val="0"/>
      <w:marTop w:val="0"/>
      <w:marBottom w:val="0"/>
      <w:divBdr>
        <w:top w:val="none" w:sz="0" w:space="0" w:color="auto"/>
        <w:left w:val="none" w:sz="0" w:space="0" w:color="auto"/>
        <w:bottom w:val="none" w:sz="0" w:space="0" w:color="auto"/>
        <w:right w:val="none" w:sz="0" w:space="0" w:color="auto"/>
      </w:divBdr>
    </w:div>
    <w:div w:id="1174957130">
      <w:bodyDiv w:val="1"/>
      <w:marLeft w:val="0"/>
      <w:marRight w:val="0"/>
      <w:marTop w:val="0"/>
      <w:marBottom w:val="0"/>
      <w:divBdr>
        <w:top w:val="none" w:sz="0" w:space="0" w:color="auto"/>
        <w:left w:val="none" w:sz="0" w:space="0" w:color="auto"/>
        <w:bottom w:val="none" w:sz="0" w:space="0" w:color="auto"/>
        <w:right w:val="none" w:sz="0" w:space="0" w:color="auto"/>
      </w:divBdr>
    </w:div>
    <w:div w:id="1201165587">
      <w:bodyDiv w:val="1"/>
      <w:marLeft w:val="0"/>
      <w:marRight w:val="0"/>
      <w:marTop w:val="0"/>
      <w:marBottom w:val="0"/>
      <w:divBdr>
        <w:top w:val="none" w:sz="0" w:space="0" w:color="auto"/>
        <w:left w:val="none" w:sz="0" w:space="0" w:color="auto"/>
        <w:bottom w:val="none" w:sz="0" w:space="0" w:color="auto"/>
        <w:right w:val="none" w:sz="0" w:space="0" w:color="auto"/>
      </w:divBdr>
    </w:div>
    <w:div w:id="1215583501">
      <w:bodyDiv w:val="1"/>
      <w:marLeft w:val="0"/>
      <w:marRight w:val="0"/>
      <w:marTop w:val="0"/>
      <w:marBottom w:val="0"/>
      <w:divBdr>
        <w:top w:val="none" w:sz="0" w:space="0" w:color="auto"/>
        <w:left w:val="none" w:sz="0" w:space="0" w:color="auto"/>
        <w:bottom w:val="none" w:sz="0" w:space="0" w:color="auto"/>
        <w:right w:val="none" w:sz="0" w:space="0" w:color="auto"/>
      </w:divBdr>
    </w:div>
    <w:div w:id="1228220590">
      <w:bodyDiv w:val="1"/>
      <w:marLeft w:val="0"/>
      <w:marRight w:val="0"/>
      <w:marTop w:val="0"/>
      <w:marBottom w:val="0"/>
      <w:divBdr>
        <w:top w:val="none" w:sz="0" w:space="0" w:color="auto"/>
        <w:left w:val="none" w:sz="0" w:space="0" w:color="auto"/>
        <w:bottom w:val="none" w:sz="0" w:space="0" w:color="auto"/>
        <w:right w:val="none" w:sz="0" w:space="0" w:color="auto"/>
      </w:divBdr>
      <w:divsChild>
        <w:div w:id="102041062">
          <w:marLeft w:val="432"/>
          <w:marRight w:val="0"/>
          <w:marTop w:val="120"/>
          <w:marBottom w:val="0"/>
          <w:divBdr>
            <w:top w:val="none" w:sz="0" w:space="0" w:color="auto"/>
            <w:left w:val="none" w:sz="0" w:space="0" w:color="auto"/>
            <w:bottom w:val="none" w:sz="0" w:space="0" w:color="auto"/>
            <w:right w:val="none" w:sz="0" w:space="0" w:color="auto"/>
          </w:divBdr>
        </w:div>
        <w:div w:id="1126702619">
          <w:marLeft w:val="432"/>
          <w:marRight w:val="0"/>
          <w:marTop w:val="120"/>
          <w:marBottom w:val="0"/>
          <w:divBdr>
            <w:top w:val="none" w:sz="0" w:space="0" w:color="auto"/>
            <w:left w:val="none" w:sz="0" w:space="0" w:color="auto"/>
            <w:bottom w:val="none" w:sz="0" w:space="0" w:color="auto"/>
            <w:right w:val="none" w:sz="0" w:space="0" w:color="auto"/>
          </w:divBdr>
        </w:div>
        <w:div w:id="1243103922">
          <w:marLeft w:val="432"/>
          <w:marRight w:val="0"/>
          <w:marTop w:val="120"/>
          <w:marBottom w:val="0"/>
          <w:divBdr>
            <w:top w:val="none" w:sz="0" w:space="0" w:color="auto"/>
            <w:left w:val="none" w:sz="0" w:space="0" w:color="auto"/>
            <w:bottom w:val="none" w:sz="0" w:space="0" w:color="auto"/>
            <w:right w:val="none" w:sz="0" w:space="0" w:color="auto"/>
          </w:divBdr>
        </w:div>
        <w:div w:id="1512455721">
          <w:marLeft w:val="432"/>
          <w:marRight w:val="0"/>
          <w:marTop w:val="120"/>
          <w:marBottom w:val="0"/>
          <w:divBdr>
            <w:top w:val="none" w:sz="0" w:space="0" w:color="auto"/>
            <w:left w:val="none" w:sz="0" w:space="0" w:color="auto"/>
            <w:bottom w:val="none" w:sz="0" w:space="0" w:color="auto"/>
            <w:right w:val="none" w:sz="0" w:space="0" w:color="auto"/>
          </w:divBdr>
        </w:div>
        <w:div w:id="2146971744">
          <w:marLeft w:val="432"/>
          <w:marRight w:val="0"/>
          <w:marTop w:val="120"/>
          <w:marBottom w:val="0"/>
          <w:divBdr>
            <w:top w:val="none" w:sz="0" w:space="0" w:color="auto"/>
            <w:left w:val="none" w:sz="0" w:space="0" w:color="auto"/>
            <w:bottom w:val="none" w:sz="0" w:space="0" w:color="auto"/>
            <w:right w:val="none" w:sz="0" w:space="0" w:color="auto"/>
          </w:divBdr>
        </w:div>
      </w:divsChild>
    </w:div>
    <w:div w:id="1269658054">
      <w:bodyDiv w:val="1"/>
      <w:marLeft w:val="0"/>
      <w:marRight w:val="0"/>
      <w:marTop w:val="0"/>
      <w:marBottom w:val="0"/>
      <w:divBdr>
        <w:top w:val="none" w:sz="0" w:space="0" w:color="auto"/>
        <w:left w:val="none" w:sz="0" w:space="0" w:color="auto"/>
        <w:bottom w:val="none" w:sz="0" w:space="0" w:color="auto"/>
        <w:right w:val="none" w:sz="0" w:space="0" w:color="auto"/>
      </w:divBdr>
    </w:div>
    <w:div w:id="1283268793">
      <w:bodyDiv w:val="1"/>
      <w:marLeft w:val="0"/>
      <w:marRight w:val="0"/>
      <w:marTop w:val="0"/>
      <w:marBottom w:val="0"/>
      <w:divBdr>
        <w:top w:val="none" w:sz="0" w:space="0" w:color="auto"/>
        <w:left w:val="none" w:sz="0" w:space="0" w:color="auto"/>
        <w:bottom w:val="none" w:sz="0" w:space="0" w:color="auto"/>
        <w:right w:val="none" w:sz="0" w:space="0" w:color="auto"/>
      </w:divBdr>
    </w:div>
    <w:div w:id="1286694212">
      <w:bodyDiv w:val="1"/>
      <w:marLeft w:val="0"/>
      <w:marRight w:val="0"/>
      <w:marTop w:val="0"/>
      <w:marBottom w:val="0"/>
      <w:divBdr>
        <w:top w:val="none" w:sz="0" w:space="0" w:color="auto"/>
        <w:left w:val="none" w:sz="0" w:space="0" w:color="auto"/>
        <w:bottom w:val="none" w:sz="0" w:space="0" w:color="auto"/>
        <w:right w:val="none" w:sz="0" w:space="0" w:color="auto"/>
      </w:divBdr>
    </w:div>
    <w:div w:id="1307856955">
      <w:bodyDiv w:val="1"/>
      <w:marLeft w:val="0"/>
      <w:marRight w:val="0"/>
      <w:marTop w:val="0"/>
      <w:marBottom w:val="0"/>
      <w:divBdr>
        <w:top w:val="none" w:sz="0" w:space="0" w:color="auto"/>
        <w:left w:val="none" w:sz="0" w:space="0" w:color="auto"/>
        <w:bottom w:val="none" w:sz="0" w:space="0" w:color="auto"/>
        <w:right w:val="none" w:sz="0" w:space="0" w:color="auto"/>
      </w:divBdr>
    </w:div>
    <w:div w:id="1326862341">
      <w:bodyDiv w:val="1"/>
      <w:marLeft w:val="0"/>
      <w:marRight w:val="0"/>
      <w:marTop w:val="0"/>
      <w:marBottom w:val="0"/>
      <w:divBdr>
        <w:top w:val="none" w:sz="0" w:space="0" w:color="auto"/>
        <w:left w:val="none" w:sz="0" w:space="0" w:color="auto"/>
        <w:bottom w:val="none" w:sz="0" w:space="0" w:color="auto"/>
        <w:right w:val="none" w:sz="0" w:space="0" w:color="auto"/>
      </w:divBdr>
    </w:div>
    <w:div w:id="1348167411">
      <w:bodyDiv w:val="1"/>
      <w:marLeft w:val="0"/>
      <w:marRight w:val="0"/>
      <w:marTop w:val="0"/>
      <w:marBottom w:val="0"/>
      <w:divBdr>
        <w:top w:val="none" w:sz="0" w:space="0" w:color="auto"/>
        <w:left w:val="none" w:sz="0" w:space="0" w:color="auto"/>
        <w:bottom w:val="none" w:sz="0" w:space="0" w:color="auto"/>
        <w:right w:val="none" w:sz="0" w:space="0" w:color="auto"/>
      </w:divBdr>
    </w:div>
    <w:div w:id="1443720448">
      <w:bodyDiv w:val="1"/>
      <w:marLeft w:val="0"/>
      <w:marRight w:val="0"/>
      <w:marTop w:val="0"/>
      <w:marBottom w:val="0"/>
      <w:divBdr>
        <w:top w:val="none" w:sz="0" w:space="0" w:color="auto"/>
        <w:left w:val="none" w:sz="0" w:space="0" w:color="auto"/>
        <w:bottom w:val="none" w:sz="0" w:space="0" w:color="auto"/>
        <w:right w:val="none" w:sz="0" w:space="0" w:color="auto"/>
      </w:divBdr>
      <w:divsChild>
        <w:div w:id="416248545">
          <w:marLeft w:val="720"/>
          <w:marRight w:val="0"/>
          <w:marTop w:val="0"/>
          <w:marBottom w:val="120"/>
          <w:divBdr>
            <w:top w:val="none" w:sz="0" w:space="0" w:color="auto"/>
            <w:left w:val="none" w:sz="0" w:space="0" w:color="auto"/>
            <w:bottom w:val="none" w:sz="0" w:space="0" w:color="auto"/>
            <w:right w:val="none" w:sz="0" w:space="0" w:color="auto"/>
          </w:divBdr>
        </w:div>
        <w:div w:id="1458059419">
          <w:marLeft w:val="720"/>
          <w:marRight w:val="0"/>
          <w:marTop w:val="0"/>
          <w:marBottom w:val="120"/>
          <w:divBdr>
            <w:top w:val="none" w:sz="0" w:space="0" w:color="auto"/>
            <w:left w:val="none" w:sz="0" w:space="0" w:color="auto"/>
            <w:bottom w:val="none" w:sz="0" w:space="0" w:color="auto"/>
            <w:right w:val="none" w:sz="0" w:space="0" w:color="auto"/>
          </w:divBdr>
        </w:div>
        <w:div w:id="1711564601">
          <w:marLeft w:val="432"/>
          <w:marRight w:val="0"/>
          <w:marTop w:val="0"/>
          <w:marBottom w:val="240"/>
          <w:divBdr>
            <w:top w:val="none" w:sz="0" w:space="0" w:color="auto"/>
            <w:left w:val="none" w:sz="0" w:space="0" w:color="auto"/>
            <w:bottom w:val="none" w:sz="0" w:space="0" w:color="auto"/>
            <w:right w:val="none" w:sz="0" w:space="0" w:color="auto"/>
          </w:divBdr>
        </w:div>
        <w:div w:id="2133593708">
          <w:marLeft w:val="720"/>
          <w:marRight w:val="0"/>
          <w:marTop w:val="0"/>
          <w:marBottom w:val="120"/>
          <w:divBdr>
            <w:top w:val="none" w:sz="0" w:space="0" w:color="auto"/>
            <w:left w:val="none" w:sz="0" w:space="0" w:color="auto"/>
            <w:bottom w:val="none" w:sz="0" w:space="0" w:color="auto"/>
            <w:right w:val="none" w:sz="0" w:space="0" w:color="auto"/>
          </w:divBdr>
        </w:div>
      </w:divsChild>
    </w:div>
    <w:div w:id="1478188636">
      <w:bodyDiv w:val="1"/>
      <w:marLeft w:val="0"/>
      <w:marRight w:val="0"/>
      <w:marTop w:val="0"/>
      <w:marBottom w:val="0"/>
      <w:divBdr>
        <w:top w:val="none" w:sz="0" w:space="0" w:color="auto"/>
        <w:left w:val="none" w:sz="0" w:space="0" w:color="auto"/>
        <w:bottom w:val="none" w:sz="0" w:space="0" w:color="auto"/>
        <w:right w:val="none" w:sz="0" w:space="0" w:color="auto"/>
      </w:divBdr>
    </w:div>
    <w:div w:id="1493719890">
      <w:bodyDiv w:val="1"/>
      <w:marLeft w:val="0"/>
      <w:marRight w:val="0"/>
      <w:marTop w:val="0"/>
      <w:marBottom w:val="0"/>
      <w:divBdr>
        <w:top w:val="none" w:sz="0" w:space="0" w:color="auto"/>
        <w:left w:val="none" w:sz="0" w:space="0" w:color="auto"/>
        <w:bottom w:val="none" w:sz="0" w:space="0" w:color="auto"/>
        <w:right w:val="none" w:sz="0" w:space="0" w:color="auto"/>
      </w:divBdr>
    </w:div>
    <w:div w:id="1500190594">
      <w:bodyDiv w:val="1"/>
      <w:marLeft w:val="0"/>
      <w:marRight w:val="0"/>
      <w:marTop w:val="0"/>
      <w:marBottom w:val="0"/>
      <w:divBdr>
        <w:top w:val="none" w:sz="0" w:space="0" w:color="auto"/>
        <w:left w:val="none" w:sz="0" w:space="0" w:color="auto"/>
        <w:bottom w:val="none" w:sz="0" w:space="0" w:color="auto"/>
        <w:right w:val="none" w:sz="0" w:space="0" w:color="auto"/>
      </w:divBdr>
    </w:div>
    <w:div w:id="1571964997">
      <w:bodyDiv w:val="1"/>
      <w:marLeft w:val="0"/>
      <w:marRight w:val="0"/>
      <w:marTop w:val="0"/>
      <w:marBottom w:val="0"/>
      <w:divBdr>
        <w:top w:val="none" w:sz="0" w:space="0" w:color="auto"/>
        <w:left w:val="none" w:sz="0" w:space="0" w:color="auto"/>
        <w:bottom w:val="none" w:sz="0" w:space="0" w:color="auto"/>
        <w:right w:val="none" w:sz="0" w:space="0" w:color="auto"/>
      </w:divBdr>
    </w:div>
    <w:div w:id="1595477415">
      <w:bodyDiv w:val="1"/>
      <w:marLeft w:val="0"/>
      <w:marRight w:val="0"/>
      <w:marTop w:val="0"/>
      <w:marBottom w:val="0"/>
      <w:divBdr>
        <w:top w:val="none" w:sz="0" w:space="0" w:color="auto"/>
        <w:left w:val="none" w:sz="0" w:space="0" w:color="auto"/>
        <w:bottom w:val="none" w:sz="0" w:space="0" w:color="auto"/>
        <w:right w:val="none" w:sz="0" w:space="0" w:color="auto"/>
      </w:divBdr>
    </w:div>
    <w:div w:id="1650673737">
      <w:bodyDiv w:val="1"/>
      <w:marLeft w:val="0"/>
      <w:marRight w:val="0"/>
      <w:marTop w:val="0"/>
      <w:marBottom w:val="0"/>
      <w:divBdr>
        <w:top w:val="none" w:sz="0" w:space="0" w:color="auto"/>
        <w:left w:val="none" w:sz="0" w:space="0" w:color="auto"/>
        <w:bottom w:val="none" w:sz="0" w:space="0" w:color="auto"/>
        <w:right w:val="none" w:sz="0" w:space="0" w:color="auto"/>
      </w:divBdr>
      <w:divsChild>
        <w:div w:id="1071610964">
          <w:marLeft w:val="360"/>
          <w:marRight w:val="0"/>
          <w:marTop w:val="0"/>
          <w:marBottom w:val="0"/>
          <w:divBdr>
            <w:top w:val="none" w:sz="0" w:space="0" w:color="auto"/>
            <w:left w:val="none" w:sz="0" w:space="0" w:color="auto"/>
            <w:bottom w:val="none" w:sz="0" w:space="0" w:color="auto"/>
            <w:right w:val="none" w:sz="0" w:space="0" w:color="auto"/>
          </w:divBdr>
        </w:div>
        <w:div w:id="1546675570">
          <w:marLeft w:val="360"/>
          <w:marRight w:val="0"/>
          <w:marTop w:val="0"/>
          <w:marBottom w:val="0"/>
          <w:divBdr>
            <w:top w:val="none" w:sz="0" w:space="0" w:color="auto"/>
            <w:left w:val="none" w:sz="0" w:space="0" w:color="auto"/>
            <w:bottom w:val="none" w:sz="0" w:space="0" w:color="auto"/>
            <w:right w:val="none" w:sz="0" w:space="0" w:color="auto"/>
          </w:divBdr>
        </w:div>
        <w:div w:id="2102555717">
          <w:marLeft w:val="360"/>
          <w:marRight w:val="0"/>
          <w:marTop w:val="0"/>
          <w:marBottom w:val="0"/>
          <w:divBdr>
            <w:top w:val="none" w:sz="0" w:space="0" w:color="auto"/>
            <w:left w:val="none" w:sz="0" w:space="0" w:color="auto"/>
            <w:bottom w:val="none" w:sz="0" w:space="0" w:color="auto"/>
            <w:right w:val="none" w:sz="0" w:space="0" w:color="auto"/>
          </w:divBdr>
        </w:div>
      </w:divsChild>
    </w:div>
    <w:div w:id="1654719356">
      <w:bodyDiv w:val="1"/>
      <w:marLeft w:val="0"/>
      <w:marRight w:val="0"/>
      <w:marTop w:val="0"/>
      <w:marBottom w:val="0"/>
      <w:divBdr>
        <w:top w:val="none" w:sz="0" w:space="0" w:color="auto"/>
        <w:left w:val="none" w:sz="0" w:space="0" w:color="auto"/>
        <w:bottom w:val="none" w:sz="0" w:space="0" w:color="auto"/>
        <w:right w:val="none" w:sz="0" w:space="0" w:color="auto"/>
      </w:divBdr>
    </w:div>
    <w:div w:id="1713266516">
      <w:bodyDiv w:val="1"/>
      <w:marLeft w:val="0"/>
      <w:marRight w:val="0"/>
      <w:marTop w:val="0"/>
      <w:marBottom w:val="0"/>
      <w:divBdr>
        <w:top w:val="none" w:sz="0" w:space="0" w:color="auto"/>
        <w:left w:val="none" w:sz="0" w:space="0" w:color="auto"/>
        <w:bottom w:val="none" w:sz="0" w:space="0" w:color="auto"/>
        <w:right w:val="none" w:sz="0" w:space="0" w:color="auto"/>
      </w:divBdr>
    </w:div>
    <w:div w:id="1727802787">
      <w:bodyDiv w:val="1"/>
      <w:marLeft w:val="0"/>
      <w:marRight w:val="0"/>
      <w:marTop w:val="0"/>
      <w:marBottom w:val="0"/>
      <w:divBdr>
        <w:top w:val="none" w:sz="0" w:space="0" w:color="auto"/>
        <w:left w:val="none" w:sz="0" w:space="0" w:color="auto"/>
        <w:bottom w:val="none" w:sz="0" w:space="0" w:color="auto"/>
        <w:right w:val="none" w:sz="0" w:space="0" w:color="auto"/>
      </w:divBdr>
    </w:div>
    <w:div w:id="1776368705">
      <w:bodyDiv w:val="1"/>
      <w:marLeft w:val="0"/>
      <w:marRight w:val="0"/>
      <w:marTop w:val="0"/>
      <w:marBottom w:val="0"/>
      <w:divBdr>
        <w:top w:val="none" w:sz="0" w:space="0" w:color="auto"/>
        <w:left w:val="none" w:sz="0" w:space="0" w:color="auto"/>
        <w:bottom w:val="none" w:sz="0" w:space="0" w:color="auto"/>
        <w:right w:val="none" w:sz="0" w:space="0" w:color="auto"/>
      </w:divBdr>
    </w:div>
    <w:div w:id="1806654026">
      <w:bodyDiv w:val="1"/>
      <w:marLeft w:val="0"/>
      <w:marRight w:val="0"/>
      <w:marTop w:val="0"/>
      <w:marBottom w:val="0"/>
      <w:divBdr>
        <w:top w:val="none" w:sz="0" w:space="0" w:color="auto"/>
        <w:left w:val="none" w:sz="0" w:space="0" w:color="auto"/>
        <w:bottom w:val="none" w:sz="0" w:space="0" w:color="auto"/>
        <w:right w:val="none" w:sz="0" w:space="0" w:color="auto"/>
      </w:divBdr>
    </w:div>
    <w:div w:id="1831562200">
      <w:bodyDiv w:val="1"/>
      <w:marLeft w:val="0"/>
      <w:marRight w:val="0"/>
      <w:marTop w:val="0"/>
      <w:marBottom w:val="0"/>
      <w:divBdr>
        <w:top w:val="none" w:sz="0" w:space="0" w:color="auto"/>
        <w:left w:val="none" w:sz="0" w:space="0" w:color="auto"/>
        <w:bottom w:val="none" w:sz="0" w:space="0" w:color="auto"/>
        <w:right w:val="none" w:sz="0" w:space="0" w:color="auto"/>
      </w:divBdr>
    </w:div>
    <w:div w:id="1858276833">
      <w:bodyDiv w:val="1"/>
      <w:marLeft w:val="0"/>
      <w:marRight w:val="0"/>
      <w:marTop w:val="0"/>
      <w:marBottom w:val="0"/>
      <w:divBdr>
        <w:top w:val="none" w:sz="0" w:space="0" w:color="auto"/>
        <w:left w:val="none" w:sz="0" w:space="0" w:color="auto"/>
        <w:bottom w:val="none" w:sz="0" w:space="0" w:color="auto"/>
        <w:right w:val="none" w:sz="0" w:space="0" w:color="auto"/>
      </w:divBdr>
    </w:div>
    <w:div w:id="1879581774">
      <w:bodyDiv w:val="1"/>
      <w:marLeft w:val="0"/>
      <w:marRight w:val="0"/>
      <w:marTop w:val="0"/>
      <w:marBottom w:val="0"/>
      <w:divBdr>
        <w:top w:val="none" w:sz="0" w:space="0" w:color="auto"/>
        <w:left w:val="none" w:sz="0" w:space="0" w:color="auto"/>
        <w:bottom w:val="none" w:sz="0" w:space="0" w:color="auto"/>
        <w:right w:val="none" w:sz="0" w:space="0" w:color="auto"/>
      </w:divBdr>
    </w:div>
    <w:div w:id="1895042802">
      <w:bodyDiv w:val="1"/>
      <w:marLeft w:val="0"/>
      <w:marRight w:val="0"/>
      <w:marTop w:val="0"/>
      <w:marBottom w:val="0"/>
      <w:divBdr>
        <w:top w:val="none" w:sz="0" w:space="0" w:color="auto"/>
        <w:left w:val="none" w:sz="0" w:space="0" w:color="auto"/>
        <w:bottom w:val="none" w:sz="0" w:space="0" w:color="auto"/>
        <w:right w:val="none" w:sz="0" w:space="0" w:color="auto"/>
      </w:divBdr>
    </w:div>
    <w:div w:id="1896089994">
      <w:bodyDiv w:val="1"/>
      <w:marLeft w:val="0"/>
      <w:marRight w:val="0"/>
      <w:marTop w:val="0"/>
      <w:marBottom w:val="0"/>
      <w:divBdr>
        <w:top w:val="none" w:sz="0" w:space="0" w:color="auto"/>
        <w:left w:val="none" w:sz="0" w:space="0" w:color="auto"/>
        <w:bottom w:val="none" w:sz="0" w:space="0" w:color="auto"/>
        <w:right w:val="none" w:sz="0" w:space="0" w:color="auto"/>
      </w:divBdr>
    </w:div>
    <w:div w:id="1908370755">
      <w:bodyDiv w:val="1"/>
      <w:marLeft w:val="0"/>
      <w:marRight w:val="0"/>
      <w:marTop w:val="0"/>
      <w:marBottom w:val="0"/>
      <w:divBdr>
        <w:top w:val="none" w:sz="0" w:space="0" w:color="auto"/>
        <w:left w:val="none" w:sz="0" w:space="0" w:color="auto"/>
        <w:bottom w:val="none" w:sz="0" w:space="0" w:color="auto"/>
        <w:right w:val="none" w:sz="0" w:space="0" w:color="auto"/>
      </w:divBdr>
    </w:div>
    <w:div w:id="1942684711">
      <w:bodyDiv w:val="1"/>
      <w:marLeft w:val="0"/>
      <w:marRight w:val="0"/>
      <w:marTop w:val="0"/>
      <w:marBottom w:val="0"/>
      <w:divBdr>
        <w:top w:val="none" w:sz="0" w:space="0" w:color="auto"/>
        <w:left w:val="none" w:sz="0" w:space="0" w:color="auto"/>
        <w:bottom w:val="none" w:sz="0" w:space="0" w:color="auto"/>
        <w:right w:val="none" w:sz="0" w:space="0" w:color="auto"/>
      </w:divBdr>
    </w:div>
    <w:div w:id="1964457212">
      <w:bodyDiv w:val="1"/>
      <w:marLeft w:val="0"/>
      <w:marRight w:val="0"/>
      <w:marTop w:val="0"/>
      <w:marBottom w:val="0"/>
      <w:divBdr>
        <w:top w:val="none" w:sz="0" w:space="0" w:color="auto"/>
        <w:left w:val="none" w:sz="0" w:space="0" w:color="auto"/>
        <w:bottom w:val="none" w:sz="0" w:space="0" w:color="auto"/>
        <w:right w:val="none" w:sz="0" w:space="0" w:color="auto"/>
      </w:divBdr>
    </w:div>
    <w:div w:id="1995138964">
      <w:bodyDiv w:val="1"/>
      <w:marLeft w:val="0"/>
      <w:marRight w:val="0"/>
      <w:marTop w:val="0"/>
      <w:marBottom w:val="0"/>
      <w:divBdr>
        <w:top w:val="none" w:sz="0" w:space="0" w:color="auto"/>
        <w:left w:val="none" w:sz="0" w:space="0" w:color="auto"/>
        <w:bottom w:val="none" w:sz="0" w:space="0" w:color="auto"/>
        <w:right w:val="none" w:sz="0" w:space="0" w:color="auto"/>
      </w:divBdr>
    </w:div>
    <w:div w:id="2123643984">
      <w:bodyDiv w:val="1"/>
      <w:marLeft w:val="0"/>
      <w:marRight w:val="0"/>
      <w:marTop w:val="0"/>
      <w:marBottom w:val="0"/>
      <w:divBdr>
        <w:top w:val="none" w:sz="0" w:space="0" w:color="auto"/>
        <w:left w:val="none" w:sz="0" w:space="0" w:color="auto"/>
        <w:bottom w:val="none" w:sz="0" w:space="0" w:color="auto"/>
        <w:right w:val="none" w:sz="0" w:space="0" w:color="auto"/>
      </w:divBdr>
    </w:div>
    <w:div w:id="2134859289">
      <w:bodyDiv w:val="1"/>
      <w:marLeft w:val="0"/>
      <w:marRight w:val="0"/>
      <w:marTop w:val="0"/>
      <w:marBottom w:val="0"/>
      <w:divBdr>
        <w:top w:val="none" w:sz="0" w:space="0" w:color="auto"/>
        <w:left w:val="none" w:sz="0" w:space="0" w:color="auto"/>
        <w:bottom w:val="none" w:sz="0" w:space="0" w:color="auto"/>
        <w:right w:val="none" w:sz="0" w:space="0" w:color="auto"/>
      </w:divBdr>
    </w:div>
    <w:div w:id="214716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s://www.federalregister.gov/articles/2013/08/08/2013-19243/small-business-innovation-research-and-small-business-technology-transfer-programs-commercialization" TargetMode="Externa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bir.gov/about/sbir-policy-directive" TargetMode="External"/><Relationship Id="rId17" Type="http://schemas.microsoft.com/office/2007/relationships/diagramDrawing" Target="diagrams/drawing1.xml"/><Relationship Id="rId25" Type="http://schemas.openxmlformats.org/officeDocument/2006/relationships/package" Target="embeddings/Microsoft_PowerPoint_Slide1.sldx"/><Relationship Id="rId33"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2.emf"/><Relationship Id="rId32" Type="http://schemas.openxmlformats.org/officeDocument/2006/relationships/chart" Target="charts/chart3.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www.nap.edu/openbook.php?record_id=11989"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yperlink" Target="http://www.SBIR.gov" TargetMode="External"/><Relationship Id="rId30" Type="http://schemas.openxmlformats.org/officeDocument/2006/relationships/chart" Target="charts/chart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po.gov/fdsys/pkg/PLAW-112publ81/pdf/PLAW-112publ81.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Number of Firms Receiving Phase I Awards</a:t>
            </a:r>
            <a:r>
              <a:rPr lang="en-US" sz="1000" baseline="0"/>
              <a:t> </a:t>
            </a:r>
            <a:r>
              <a:rPr lang="en-US" sz="1000"/>
              <a:t>by Number of Phase I Awards Received Between</a:t>
            </a:r>
            <a:r>
              <a:rPr lang="en-US" sz="1000" baseline="0"/>
              <a:t> FY 2008-2012 (Example)</a:t>
            </a:r>
            <a:endParaRPr lang="en-US" sz="1000"/>
          </a:p>
        </c:rich>
      </c:tx>
      <c:layout/>
      <c:overlay val="1"/>
    </c:title>
    <c:autoTitleDeleted val="0"/>
    <c:plotArea>
      <c:layout>
        <c:manualLayout>
          <c:layoutTarget val="inner"/>
          <c:xMode val="edge"/>
          <c:yMode val="edge"/>
          <c:x val="0.2076834898649717"/>
          <c:y val="0.39208567815485951"/>
          <c:w val="0.72332479524396798"/>
          <c:h val="0.44541470532743915"/>
        </c:manualLayout>
      </c:layout>
      <c:pieChart>
        <c:varyColors val="1"/>
        <c:ser>
          <c:idx val="0"/>
          <c:order val="0"/>
          <c:tx>
            <c:strRef>
              <c:f>Sheet1!$B$1</c:f>
              <c:strCache>
                <c:ptCount val="1"/>
                <c:pt idx="0">
                  <c:v>1 Award</c:v>
                </c:pt>
              </c:strCache>
            </c:strRef>
          </c:tx>
          <c:dLbls>
            <c:dLbl>
              <c:idx val="0"/>
              <c:layout>
                <c:manualLayout>
                  <c:x val="9.8092105956634937E-2"/>
                  <c:y val="-0.16899095309592851"/>
                </c:manualLayout>
              </c:layout>
              <c:showLegendKey val="0"/>
              <c:showVal val="1"/>
              <c:showCatName val="1"/>
              <c:showSerName val="0"/>
              <c:showPercent val="1"/>
              <c:showBubbleSize val="0"/>
              <c:separator>; </c:separator>
              <c:extLst>
                <c:ext xmlns:c15="http://schemas.microsoft.com/office/drawing/2012/chart" uri="{CE6537A1-D6FC-4f65-9D91-7224C49458BB}">
                  <c15:layout/>
                </c:ext>
              </c:extLst>
            </c:dLbl>
            <c:dLbl>
              <c:idx val="1"/>
              <c:layout>
                <c:manualLayout>
                  <c:x val="-0.10561247615132446"/>
                  <c:y val="4.6867776899066653E-3"/>
                </c:manualLayout>
              </c:layout>
              <c:showLegendKey val="0"/>
              <c:showVal val="1"/>
              <c:showCatName val="1"/>
              <c:showSerName val="0"/>
              <c:showPercent val="1"/>
              <c:showBubbleSize val="0"/>
              <c:separator>; </c:separator>
              <c:extLst>
                <c:ext xmlns:c15="http://schemas.microsoft.com/office/drawing/2012/chart" uri="{CE6537A1-D6FC-4f65-9D91-7224C49458BB}">
                  <c15:layout/>
                </c:ext>
              </c:extLst>
            </c:dLbl>
            <c:dLbl>
              <c:idx val="2"/>
              <c:layout>
                <c:manualLayout>
                  <c:x val="-0.18266477985432542"/>
                  <c:y val="0.10151405746770736"/>
                </c:manualLayout>
              </c:layout>
              <c:showLegendKey val="0"/>
              <c:showVal val="1"/>
              <c:showCatName val="1"/>
              <c:showSerName val="0"/>
              <c:showPercent val="1"/>
              <c:showBubbleSize val="0"/>
              <c:separator>; </c:separator>
              <c:extLst>
                <c:ext xmlns:c15="http://schemas.microsoft.com/office/drawing/2012/chart" uri="{CE6537A1-D6FC-4f65-9D91-7224C49458BB}">
                  <c15:layout/>
                </c:ext>
              </c:extLst>
            </c:dLbl>
            <c:dLbl>
              <c:idx val="3"/>
              <c:layout>
                <c:manualLayout>
                  <c:x val="-0.1352849719086319"/>
                  <c:y val="4.6134244136513507E-2"/>
                </c:manualLayout>
              </c:layout>
              <c:showLegendKey val="0"/>
              <c:showVal val="1"/>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a:lstStyle/>
              <a:p>
                <a:pPr>
                  <a:defRPr sz="900"/>
                </a:pPr>
                <a:endParaRPr lang="en-US"/>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Sheet1!$A$2:$A$5</c:f>
              <c:strCache>
                <c:ptCount val="4"/>
                <c:pt idx="0">
                  <c:v>1 Award</c:v>
                </c:pt>
                <c:pt idx="1">
                  <c:v>2 to 5 Awards</c:v>
                </c:pt>
                <c:pt idx="2">
                  <c:v>6 to 10 Awards</c:v>
                </c:pt>
                <c:pt idx="3">
                  <c:v>Over 10 Awards</c:v>
                </c:pt>
              </c:strCache>
            </c:strRef>
          </c:cat>
          <c:val>
            <c:numRef>
              <c:f>Sheet1!$B$2:$B$5</c:f>
              <c:numCache>
                <c:formatCode>General</c:formatCode>
                <c:ptCount val="4"/>
                <c:pt idx="0">
                  <c:v>1000</c:v>
                </c:pt>
                <c:pt idx="1">
                  <c:v>500</c:v>
                </c:pt>
                <c:pt idx="2">
                  <c:v>400</c:v>
                </c:pt>
                <c:pt idx="3">
                  <c:v>400</c:v>
                </c:pt>
              </c:numCache>
            </c:numRef>
          </c:val>
        </c:ser>
        <c:dLbls>
          <c:showLegendKey val="0"/>
          <c:showVal val="0"/>
          <c:showCatName val="0"/>
          <c:showSerName val="0"/>
          <c:showPercent val="0"/>
          <c:showBubbleSize val="0"/>
          <c:showLeaderLines val="1"/>
        </c:dLbls>
        <c:firstSliceAng val="348"/>
      </c:pieChart>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How</a:t>
            </a:r>
            <a:r>
              <a:rPr lang="en-US" sz="1600" baseline="0"/>
              <a:t> Applicants Learn About SBIR/STTR Program Example Chart</a:t>
            </a:r>
            <a:endParaRPr lang="en-US" sz="1600"/>
          </a:p>
        </c:rich>
      </c:tx>
      <c:layout>
        <c:manualLayout>
          <c:xMode val="edge"/>
          <c:yMode val="edge"/>
          <c:x val="0.13797870436649964"/>
          <c:y val="3.0864197530864196E-2"/>
        </c:manualLayout>
      </c:layout>
      <c:overlay val="1"/>
    </c:title>
    <c:autoTitleDeleted val="0"/>
    <c:plotArea>
      <c:layout>
        <c:manualLayout>
          <c:layoutTarget val="inner"/>
          <c:xMode val="edge"/>
          <c:yMode val="edge"/>
          <c:x val="0.178051678199316"/>
          <c:y val="0.2187854411717054"/>
          <c:w val="0.59310443675601143"/>
          <c:h val="0.65783148634198507"/>
        </c:manualLayout>
      </c:layout>
      <c:barChart>
        <c:barDir val="bar"/>
        <c:grouping val="clustered"/>
        <c:varyColors val="0"/>
        <c:ser>
          <c:idx val="0"/>
          <c:order val="0"/>
          <c:tx>
            <c:strRef>
              <c:f>Sheet1!$B$1</c:f>
              <c:strCache>
                <c:ptCount val="1"/>
                <c:pt idx="0">
                  <c:v>Website</c:v>
                </c:pt>
              </c:strCache>
            </c:strRef>
          </c:tx>
          <c:invertIfNegative val="0"/>
          <c:cat>
            <c:strRef>
              <c:f>Sheet1!$A$2:$A$6</c:f>
              <c:strCache>
                <c:ptCount val="5"/>
                <c:pt idx="0">
                  <c:v>HUB Zone</c:v>
                </c:pt>
                <c:pt idx="1">
                  <c:v>Woman</c:v>
                </c:pt>
                <c:pt idx="2">
                  <c:v>Minority</c:v>
                </c:pt>
                <c:pt idx="3">
                  <c:v>Target State</c:v>
                </c:pt>
                <c:pt idx="4">
                  <c:v>New Applicant</c:v>
                </c:pt>
              </c:strCache>
            </c:strRef>
          </c:cat>
          <c:val>
            <c:numRef>
              <c:f>Sheet1!$B$2:$B$6</c:f>
              <c:numCache>
                <c:formatCode>General</c:formatCode>
                <c:ptCount val="5"/>
                <c:pt idx="0">
                  <c:v>50</c:v>
                </c:pt>
                <c:pt idx="1">
                  <c:v>60</c:v>
                </c:pt>
                <c:pt idx="2">
                  <c:v>100</c:v>
                </c:pt>
                <c:pt idx="3">
                  <c:v>100</c:v>
                </c:pt>
                <c:pt idx="4">
                  <c:v>400</c:v>
                </c:pt>
              </c:numCache>
            </c:numRef>
          </c:val>
        </c:ser>
        <c:ser>
          <c:idx val="1"/>
          <c:order val="1"/>
          <c:tx>
            <c:strRef>
              <c:f>Sheet1!$C$1</c:f>
              <c:strCache>
                <c:ptCount val="1"/>
                <c:pt idx="0">
                  <c:v>Friend</c:v>
                </c:pt>
              </c:strCache>
            </c:strRef>
          </c:tx>
          <c:invertIfNegative val="0"/>
          <c:cat>
            <c:strRef>
              <c:f>Sheet1!$A$2:$A$6</c:f>
              <c:strCache>
                <c:ptCount val="5"/>
                <c:pt idx="0">
                  <c:v>HUB Zone</c:v>
                </c:pt>
                <c:pt idx="1">
                  <c:v>Woman</c:v>
                </c:pt>
                <c:pt idx="2">
                  <c:v>Minority</c:v>
                </c:pt>
                <c:pt idx="3">
                  <c:v>Target State</c:v>
                </c:pt>
                <c:pt idx="4">
                  <c:v>New Applicant</c:v>
                </c:pt>
              </c:strCache>
            </c:strRef>
          </c:cat>
          <c:val>
            <c:numRef>
              <c:f>Sheet1!$C$2:$C$6</c:f>
              <c:numCache>
                <c:formatCode>General</c:formatCode>
                <c:ptCount val="5"/>
                <c:pt idx="0">
                  <c:v>10</c:v>
                </c:pt>
                <c:pt idx="1">
                  <c:v>10</c:v>
                </c:pt>
                <c:pt idx="2">
                  <c:v>5</c:v>
                </c:pt>
                <c:pt idx="3">
                  <c:v>100</c:v>
                </c:pt>
                <c:pt idx="4">
                  <c:v>200</c:v>
                </c:pt>
              </c:numCache>
            </c:numRef>
          </c:val>
        </c:ser>
        <c:ser>
          <c:idx val="2"/>
          <c:order val="2"/>
          <c:tx>
            <c:strRef>
              <c:f>Sheet1!$D$1</c:f>
              <c:strCache>
                <c:ptCount val="1"/>
                <c:pt idx="0">
                  <c:v>SBA District Office</c:v>
                </c:pt>
              </c:strCache>
            </c:strRef>
          </c:tx>
          <c:invertIfNegative val="0"/>
          <c:cat>
            <c:strRef>
              <c:f>Sheet1!$A$2:$A$6</c:f>
              <c:strCache>
                <c:ptCount val="5"/>
                <c:pt idx="0">
                  <c:v>HUB Zone</c:v>
                </c:pt>
                <c:pt idx="1">
                  <c:v>Woman</c:v>
                </c:pt>
                <c:pt idx="2">
                  <c:v>Minority</c:v>
                </c:pt>
                <c:pt idx="3">
                  <c:v>Target State</c:v>
                </c:pt>
                <c:pt idx="4">
                  <c:v>New Applicant</c:v>
                </c:pt>
              </c:strCache>
            </c:strRef>
          </c:cat>
          <c:val>
            <c:numRef>
              <c:f>Sheet1!$D$2:$D$6</c:f>
              <c:numCache>
                <c:formatCode>General</c:formatCode>
                <c:ptCount val="5"/>
                <c:pt idx="0">
                  <c:v>24</c:v>
                </c:pt>
                <c:pt idx="1">
                  <c:v>20</c:v>
                </c:pt>
                <c:pt idx="2">
                  <c:v>30</c:v>
                </c:pt>
                <c:pt idx="3">
                  <c:v>60</c:v>
                </c:pt>
                <c:pt idx="4">
                  <c:v>154</c:v>
                </c:pt>
              </c:numCache>
            </c:numRef>
          </c:val>
        </c:ser>
        <c:ser>
          <c:idx val="3"/>
          <c:order val="3"/>
          <c:tx>
            <c:strRef>
              <c:f>Sheet1!$E$1</c:f>
              <c:strCache>
                <c:ptCount val="1"/>
                <c:pt idx="0">
                  <c:v>Educational</c:v>
                </c:pt>
              </c:strCache>
            </c:strRef>
          </c:tx>
          <c:invertIfNegative val="0"/>
          <c:cat>
            <c:strRef>
              <c:f>Sheet1!$A$2:$A$6</c:f>
              <c:strCache>
                <c:ptCount val="5"/>
                <c:pt idx="0">
                  <c:v>HUB Zone</c:v>
                </c:pt>
                <c:pt idx="1">
                  <c:v>Woman</c:v>
                </c:pt>
                <c:pt idx="2">
                  <c:v>Minority</c:v>
                </c:pt>
                <c:pt idx="3">
                  <c:v>Target State</c:v>
                </c:pt>
                <c:pt idx="4">
                  <c:v>New Applicant</c:v>
                </c:pt>
              </c:strCache>
            </c:strRef>
          </c:cat>
          <c:val>
            <c:numRef>
              <c:f>Sheet1!$E$2:$E$6</c:f>
              <c:numCache>
                <c:formatCode>General</c:formatCode>
                <c:ptCount val="5"/>
                <c:pt idx="0">
                  <c:v>10</c:v>
                </c:pt>
                <c:pt idx="1">
                  <c:v>40</c:v>
                </c:pt>
                <c:pt idx="2">
                  <c:v>10</c:v>
                </c:pt>
                <c:pt idx="3">
                  <c:v>40</c:v>
                </c:pt>
                <c:pt idx="4">
                  <c:v>110</c:v>
                </c:pt>
              </c:numCache>
            </c:numRef>
          </c:val>
        </c:ser>
        <c:dLbls>
          <c:showLegendKey val="0"/>
          <c:showVal val="0"/>
          <c:showCatName val="0"/>
          <c:showSerName val="0"/>
          <c:showPercent val="0"/>
          <c:showBubbleSize val="0"/>
        </c:dLbls>
        <c:gapWidth val="150"/>
        <c:axId val="354452984"/>
        <c:axId val="353103656"/>
      </c:barChart>
      <c:catAx>
        <c:axId val="354452984"/>
        <c:scaling>
          <c:orientation val="minMax"/>
        </c:scaling>
        <c:delete val="0"/>
        <c:axPos val="l"/>
        <c:numFmt formatCode="General" sourceLinked="0"/>
        <c:majorTickMark val="out"/>
        <c:minorTickMark val="none"/>
        <c:tickLblPos val="nextTo"/>
        <c:crossAx val="353103656"/>
        <c:crosses val="autoZero"/>
        <c:auto val="1"/>
        <c:lblAlgn val="ctr"/>
        <c:lblOffset val="100"/>
        <c:noMultiLvlLbl val="0"/>
      </c:catAx>
      <c:valAx>
        <c:axId val="353103656"/>
        <c:scaling>
          <c:orientation val="minMax"/>
        </c:scaling>
        <c:delete val="0"/>
        <c:axPos val="b"/>
        <c:majorGridlines/>
        <c:numFmt formatCode="General" sourceLinked="1"/>
        <c:majorTickMark val="out"/>
        <c:minorTickMark val="none"/>
        <c:tickLblPos val="nextTo"/>
        <c:crossAx val="354452984"/>
        <c:crosses val="autoZero"/>
        <c:crossBetween val="between"/>
      </c:valAx>
    </c:plotArea>
    <c:legend>
      <c:legendPos val="r"/>
      <c:layout>
        <c:manualLayout>
          <c:xMode val="edge"/>
          <c:yMode val="edge"/>
          <c:x val="0.80471361580616751"/>
          <c:y val="0.21655973558860697"/>
          <c:w val="0.19178344987161641"/>
          <c:h val="0.59836849097566513"/>
        </c:manualLayout>
      </c:layout>
      <c:overlay val="0"/>
      <c:spPr>
        <a:solidFill>
          <a:schemeClr val="bg1"/>
        </a:solidFill>
      </c:sp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Percentage of Commercialization by Year of Phase I Investment Example Chart</a:t>
            </a:r>
          </a:p>
        </c:rich>
      </c:tx>
      <c:layout/>
      <c:overlay val="1"/>
    </c:title>
    <c:autoTitleDeleted val="0"/>
    <c:plotArea>
      <c:layout>
        <c:manualLayout>
          <c:layoutTarget val="inner"/>
          <c:xMode val="edge"/>
          <c:yMode val="edge"/>
          <c:x val="0.15497607122040305"/>
          <c:y val="0.31926149381123092"/>
          <c:w val="0.77417650918635172"/>
          <c:h val="0.50773153355830525"/>
        </c:manualLayout>
      </c:layout>
      <c:barChart>
        <c:barDir val="bar"/>
        <c:grouping val="clustered"/>
        <c:varyColors val="0"/>
        <c:ser>
          <c:idx val="0"/>
          <c:order val="0"/>
          <c:tx>
            <c:strRef>
              <c:f>Sheet1!$B$1</c:f>
              <c:strCache>
                <c:ptCount val="1"/>
                <c:pt idx="0">
                  <c:v>None</c:v>
                </c:pt>
              </c:strCache>
            </c:strRef>
          </c:tx>
          <c:spPr>
            <a:solidFill>
              <a:schemeClr val="bg1"/>
            </a:solidFill>
            <a:ln>
              <a:solidFill>
                <a:schemeClr val="tx1"/>
              </a:solidFill>
            </a:ln>
          </c:spPr>
          <c:invertIfNegative val="0"/>
          <c:cat>
            <c:numRef>
              <c:f>Sheet1!$A$2:$A$5</c:f>
              <c:numCache>
                <c:formatCode>General</c:formatCode>
                <c:ptCount val="4"/>
                <c:pt idx="0">
                  <c:v>2007</c:v>
                </c:pt>
                <c:pt idx="1">
                  <c:v>2008</c:v>
                </c:pt>
                <c:pt idx="2">
                  <c:v>2009</c:v>
                </c:pt>
                <c:pt idx="3">
                  <c:v>2010</c:v>
                </c:pt>
              </c:numCache>
            </c:numRef>
          </c:cat>
          <c:val>
            <c:numRef>
              <c:f>Sheet1!$B$2:$B$5</c:f>
              <c:numCache>
                <c:formatCode>General</c:formatCode>
                <c:ptCount val="4"/>
                <c:pt idx="0">
                  <c:v>10</c:v>
                </c:pt>
                <c:pt idx="1">
                  <c:v>30</c:v>
                </c:pt>
                <c:pt idx="2">
                  <c:v>20</c:v>
                </c:pt>
                <c:pt idx="3">
                  <c:v>30</c:v>
                </c:pt>
              </c:numCache>
            </c:numRef>
          </c:val>
        </c:ser>
        <c:ser>
          <c:idx val="1"/>
          <c:order val="1"/>
          <c:tx>
            <c:strRef>
              <c:f>Sheet1!$C$1</c:f>
              <c:strCache>
                <c:ptCount val="1"/>
                <c:pt idx="0">
                  <c:v>Received Phase II Award</c:v>
                </c:pt>
              </c:strCache>
            </c:strRef>
          </c:tx>
          <c:spPr>
            <a:solidFill>
              <a:schemeClr val="accent3">
                <a:lumMod val="75000"/>
              </a:schemeClr>
            </a:solidFill>
            <a:ln>
              <a:solidFill>
                <a:schemeClr val="tx1"/>
              </a:solidFill>
            </a:ln>
          </c:spPr>
          <c:invertIfNegative val="0"/>
          <c:cat>
            <c:numRef>
              <c:f>Sheet1!$A$2:$A$5</c:f>
              <c:numCache>
                <c:formatCode>General</c:formatCode>
                <c:ptCount val="4"/>
                <c:pt idx="0">
                  <c:v>2007</c:v>
                </c:pt>
                <c:pt idx="1">
                  <c:v>2008</c:v>
                </c:pt>
                <c:pt idx="2">
                  <c:v>2009</c:v>
                </c:pt>
                <c:pt idx="3">
                  <c:v>2010</c:v>
                </c:pt>
              </c:numCache>
            </c:numRef>
          </c:cat>
          <c:val>
            <c:numRef>
              <c:f>Sheet1!$C$2:$C$5</c:f>
              <c:numCache>
                <c:formatCode>General</c:formatCode>
                <c:ptCount val="4"/>
                <c:pt idx="0">
                  <c:v>90</c:v>
                </c:pt>
                <c:pt idx="1">
                  <c:v>70</c:v>
                </c:pt>
                <c:pt idx="2">
                  <c:v>80</c:v>
                </c:pt>
                <c:pt idx="3">
                  <c:v>70</c:v>
                </c:pt>
              </c:numCache>
            </c:numRef>
          </c:val>
        </c:ser>
        <c:ser>
          <c:idx val="2"/>
          <c:order val="2"/>
          <c:tx>
            <c:strRef>
              <c:f>Sheet1!$D$1</c:f>
              <c:strCache>
                <c:ptCount val="1"/>
                <c:pt idx="0">
                  <c:v>Initial</c:v>
                </c:pt>
              </c:strCache>
            </c:strRef>
          </c:tx>
          <c:spPr>
            <a:pattFill prst="dkUpDiag">
              <a:fgClr>
                <a:schemeClr val="accent1"/>
              </a:fgClr>
              <a:bgClr>
                <a:schemeClr val="bg1"/>
              </a:bgClr>
            </a:pattFill>
            <a:ln>
              <a:solidFill>
                <a:schemeClr val="tx1"/>
              </a:solidFill>
            </a:ln>
          </c:spPr>
          <c:invertIfNegative val="0"/>
          <c:cat>
            <c:numRef>
              <c:f>Sheet1!$A$2:$A$5</c:f>
              <c:numCache>
                <c:formatCode>General</c:formatCode>
                <c:ptCount val="4"/>
                <c:pt idx="0">
                  <c:v>2007</c:v>
                </c:pt>
                <c:pt idx="1">
                  <c:v>2008</c:v>
                </c:pt>
                <c:pt idx="2">
                  <c:v>2009</c:v>
                </c:pt>
                <c:pt idx="3">
                  <c:v>2010</c:v>
                </c:pt>
              </c:numCache>
            </c:numRef>
          </c:cat>
          <c:val>
            <c:numRef>
              <c:f>Sheet1!$D$2:$D$5</c:f>
              <c:numCache>
                <c:formatCode>General</c:formatCode>
                <c:ptCount val="4"/>
                <c:pt idx="0">
                  <c:v>40</c:v>
                </c:pt>
                <c:pt idx="1">
                  <c:v>35</c:v>
                </c:pt>
                <c:pt idx="2">
                  <c:v>25</c:v>
                </c:pt>
                <c:pt idx="3">
                  <c:v>20</c:v>
                </c:pt>
              </c:numCache>
            </c:numRef>
          </c:val>
        </c:ser>
        <c:ser>
          <c:idx val="3"/>
          <c:order val="3"/>
          <c:tx>
            <c:strRef>
              <c:f>Sheet1!$E$1</c:f>
              <c:strCache>
                <c:ptCount val="1"/>
                <c:pt idx="0">
                  <c:v>Full</c:v>
                </c:pt>
              </c:strCache>
            </c:strRef>
          </c:tx>
          <c:spPr>
            <a:solidFill>
              <a:schemeClr val="accent1"/>
            </a:solidFill>
          </c:spPr>
          <c:invertIfNegative val="0"/>
          <c:cat>
            <c:numRef>
              <c:f>Sheet1!$A$2:$A$5</c:f>
              <c:numCache>
                <c:formatCode>General</c:formatCode>
                <c:ptCount val="4"/>
                <c:pt idx="0">
                  <c:v>2007</c:v>
                </c:pt>
                <c:pt idx="1">
                  <c:v>2008</c:v>
                </c:pt>
                <c:pt idx="2">
                  <c:v>2009</c:v>
                </c:pt>
                <c:pt idx="3">
                  <c:v>2010</c:v>
                </c:pt>
              </c:numCache>
            </c:numRef>
          </c:cat>
          <c:val>
            <c:numRef>
              <c:f>Sheet1!$E$2:$E$5</c:f>
              <c:numCache>
                <c:formatCode>General</c:formatCode>
                <c:ptCount val="4"/>
                <c:pt idx="0">
                  <c:v>20</c:v>
                </c:pt>
                <c:pt idx="1">
                  <c:v>5</c:v>
                </c:pt>
                <c:pt idx="2">
                  <c:v>0</c:v>
                </c:pt>
                <c:pt idx="3">
                  <c:v>0</c:v>
                </c:pt>
              </c:numCache>
            </c:numRef>
          </c:val>
        </c:ser>
        <c:dLbls>
          <c:showLegendKey val="0"/>
          <c:showVal val="0"/>
          <c:showCatName val="0"/>
          <c:showSerName val="0"/>
          <c:showPercent val="0"/>
          <c:showBubbleSize val="0"/>
        </c:dLbls>
        <c:gapWidth val="150"/>
        <c:axId val="353104048"/>
        <c:axId val="353104440"/>
      </c:barChart>
      <c:catAx>
        <c:axId val="353104048"/>
        <c:scaling>
          <c:orientation val="minMax"/>
        </c:scaling>
        <c:delete val="0"/>
        <c:axPos val="l"/>
        <c:title>
          <c:tx>
            <c:rich>
              <a:bodyPr rot="-5400000" vert="horz"/>
              <a:lstStyle/>
              <a:p>
                <a:pPr>
                  <a:defRPr/>
                </a:pPr>
                <a:r>
                  <a:rPr lang="en-US"/>
                  <a:t>Year of Phase I Award</a:t>
                </a:r>
              </a:p>
            </c:rich>
          </c:tx>
          <c:layout>
            <c:manualLayout>
              <c:xMode val="edge"/>
              <c:yMode val="edge"/>
              <c:x val="2.7303149606299211E-2"/>
              <c:y val="0.35907386576677913"/>
            </c:manualLayout>
          </c:layout>
          <c:overlay val="0"/>
        </c:title>
        <c:numFmt formatCode="General" sourceLinked="1"/>
        <c:majorTickMark val="out"/>
        <c:minorTickMark val="none"/>
        <c:tickLblPos val="nextTo"/>
        <c:crossAx val="353104440"/>
        <c:crosses val="autoZero"/>
        <c:auto val="1"/>
        <c:lblAlgn val="ctr"/>
        <c:lblOffset val="100"/>
        <c:noMultiLvlLbl val="0"/>
      </c:catAx>
      <c:valAx>
        <c:axId val="353104440"/>
        <c:scaling>
          <c:orientation val="minMax"/>
        </c:scaling>
        <c:delete val="0"/>
        <c:axPos val="b"/>
        <c:majorGridlines/>
        <c:title>
          <c:tx>
            <c:rich>
              <a:bodyPr/>
              <a:lstStyle/>
              <a:p>
                <a:pPr>
                  <a:defRPr/>
                </a:pPr>
                <a:r>
                  <a:rPr lang="en-US"/>
                  <a:t>Percent</a:t>
                </a:r>
                <a:r>
                  <a:rPr lang="en-US" baseline="0"/>
                  <a:t> of Phase I Awards  by Level of Commercialization</a:t>
                </a:r>
                <a:endParaRPr lang="en-US"/>
              </a:p>
            </c:rich>
          </c:tx>
          <c:layout/>
          <c:overlay val="0"/>
        </c:title>
        <c:numFmt formatCode="General" sourceLinked="1"/>
        <c:majorTickMark val="out"/>
        <c:minorTickMark val="none"/>
        <c:tickLblPos val="nextTo"/>
        <c:crossAx val="353104048"/>
        <c:crosses val="autoZero"/>
        <c:crossBetween val="between"/>
      </c:valAx>
    </c:plotArea>
    <c:legend>
      <c:legendPos val="t"/>
      <c:layout>
        <c:manualLayout>
          <c:xMode val="edge"/>
          <c:yMode val="edge"/>
          <c:x val="0.14303526961743826"/>
          <c:y val="0.22171662836289813"/>
          <c:w val="0.62118938444053717"/>
          <c:h val="8.2059430761897478E-2"/>
        </c:manualLayout>
      </c:layout>
      <c:overlay val="0"/>
    </c:legend>
    <c:plotVisOnly val="1"/>
    <c:dispBlanksAs val="gap"/>
    <c:showDLblsOverMax val="0"/>
  </c:chart>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DF595-6248-4203-B5B1-8506738A0D53}" type="doc">
      <dgm:prSet loTypeId="urn:microsoft.com/office/officeart/2005/8/layout/chevron1" loCatId="process" qsTypeId="urn:microsoft.com/office/officeart/2005/8/quickstyle/simple1" qsCatId="simple" csTypeId="urn:microsoft.com/office/officeart/2005/8/colors/accent1_2" csCatId="accent1" phldr="1"/>
      <dgm:spPr/>
    </dgm:pt>
    <dgm:pt modelId="{BB5609EE-8925-4DBB-B293-44CBCFC8D874}">
      <dgm:prSet phldrT="[Text]"/>
      <dgm:spPr>
        <a:solidFill>
          <a:schemeClr val="accent3">
            <a:lumMod val="40000"/>
            <a:lumOff val="60000"/>
          </a:schemeClr>
        </a:solidFill>
        <a:ln>
          <a:solidFill>
            <a:schemeClr val="tx1"/>
          </a:solidFill>
        </a:ln>
      </dgm:spPr>
      <dgm:t>
        <a:bodyPr/>
        <a:lstStyle/>
        <a:p>
          <a:r>
            <a:rPr lang="en-US" b="1">
              <a:solidFill>
                <a:sysClr val="windowText" lastClr="000000"/>
              </a:solidFill>
            </a:rPr>
            <a:t>Phase I - Feasibility/ Proof of Concept </a:t>
          </a:r>
        </a:p>
        <a:p>
          <a:r>
            <a:rPr lang="en-US">
              <a:solidFill>
                <a:sysClr val="windowText" lastClr="000000"/>
              </a:solidFill>
            </a:rPr>
            <a:t>Up to $150,000 </a:t>
          </a:r>
        </a:p>
        <a:p>
          <a:r>
            <a:rPr lang="en-US">
              <a:solidFill>
                <a:sysClr val="windowText" lastClr="000000"/>
              </a:solidFill>
            </a:rPr>
            <a:t>6 months </a:t>
          </a:r>
        </a:p>
      </dgm:t>
    </dgm:pt>
    <dgm:pt modelId="{2E29870D-E05A-42F9-A64B-9B6A1B3A3D98}" type="parTrans" cxnId="{CAAF080E-B599-45FB-8BFA-7A00CD0D8C1D}">
      <dgm:prSet/>
      <dgm:spPr/>
      <dgm:t>
        <a:bodyPr/>
        <a:lstStyle/>
        <a:p>
          <a:endParaRPr lang="en-US"/>
        </a:p>
      </dgm:t>
    </dgm:pt>
    <dgm:pt modelId="{29971A94-1E54-45AC-8B30-864B472D420D}" type="sibTrans" cxnId="{CAAF080E-B599-45FB-8BFA-7A00CD0D8C1D}">
      <dgm:prSet/>
      <dgm:spPr/>
      <dgm:t>
        <a:bodyPr/>
        <a:lstStyle/>
        <a:p>
          <a:endParaRPr lang="en-US"/>
        </a:p>
      </dgm:t>
    </dgm:pt>
    <dgm:pt modelId="{59675CBB-37EF-42EE-B82D-6BD873B46193}">
      <dgm:prSet phldrT="[Text]"/>
      <dgm:spPr>
        <a:solidFill>
          <a:schemeClr val="accent3"/>
        </a:solidFill>
        <a:ln>
          <a:solidFill>
            <a:schemeClr val="tx1"/>
          </a:solidFill>
        </a:ln>
      </dgm:spPr>
      <dgm:t>
        <a:bodyPr/>
        <a:lstStyle/>
        <a:p>
          <a:r>
            <a:rPr lang="en-US" b="1">
              <a:solidFill>
                <a:sysClr val="windowText" lastClr="000000"/>
              </a:solidFill>
            </a:rPr>
            <a:t>Phase II - Full Research and Development</a:t>
          </a:r>
        </a:p>
        <a:p>
          <a:r>
            <a:rPr lang="en-US">
              <a:solidFill>
                <a:sysClr val="windowText" lastClr="000000"/>
              </a:solidFill>
            </a:rPr>
            <a:t>Up to $1 million</a:t>
          </a:r>
        </a:p>
        <a:p>
          <a:r>
            <a:rPr lang="en-US">
              <a:solidFill>
                <a:sysClr val="windowText" lastClr="000000"/>
              </a:solidFill>
            </a:rPr>
            <a:t>Up to 2 years</a:t>
          </a:r>
        </a:p>
      </dgm:t>
    </dgm:pt>
    <dgm:pt modelId="{D573DA8F-0E16-4AA4-AB1E-AAA77F11D1E3}" type="parTrans" cxnId="{40E46F2B-B40A-425A-9809-50B0AA5B764F}">
      <dgm:prSet/>
      <dgm:spPr/>
      <dgm:t>
        <a:bodyPr/>
        <a:lstStyle/>
        <a:p>
          <a:endParaRPr lang="en-US"/>
        </a:p>
      </dgm:t>
    </dgm:pt>
    <dgm:pt modelId="{EEF7FB1F-F0C3-4BE6-8AB5-EC655015E589}" type="sibTrans" cxnId="{40E46F2B-B40A-425A-9809-50B0AA5B764F}">
      <dgm:prSet/>
      <dgm:spPr/>
      <dgm:t>
        <a:bodyPr/>
        <a:lstStyle/>
        <a:p>
          <a:endParaRPr lang="en-US"/>
        </a:p>
      </dgm:t>
    </dgm:pt>
    <dgm:pt modelId="{3BD7469E-7B15-420E-BADC-134C2694270E}">
      <dgm:prSet phldrT="[Text]"/>
      <dgm:spPr>
        <a:ln>
          <a:solidFill>
            <a:schemeClr val="tx1"/>
          </a:solidFill>
        </a:ln>
      </dgm:spPr>
      <dgm:t>
        <a:bodyPr/>
        <a:lstStyle/>
        <a:p>
          <a:r>
            <a:rPr lang="en-US" b="1"/>
            <a:t>Phase III -Commercialization</a:t>
          </a:r>
        </a:p>
        <a:p>
          <a:r>
            <a:rPr lang="en-US"/>
            <a:t>No SBIR/STTR  funding</a:t>
          </a:r>
        </a:p>
        <a:p>
          <a:r>
            <a:rPr lang="en-US"/>
            <a:t> May take several years</a:t>
          </a:r>
        </a:p>
      </dgm:t>
    </dgm:pt>
    <dgm:pt modelId="{CAF84ED2-0A94-44E9-BDCE-07B0BE148E38}" type="parTrans" cxnId="{C0F3AB39-DD3F-470A-9FF2-D601A3BCC7E3}">
      <dgm:prSet/>
      <dgm:spPr/>
      <dgm:t>
        <a:bodyPr/>
        <a:lstStyle/>
        <a:p>
          <a:endParaRPr lang="en-US"/>
        </a:p>
      </dgm:t>
    </dgm:pt>
    <dgm:pt modelId="{41C0A29F-A6BD-4B23-9544-3BA23AA31D2E}" type="sibTrans" cxnId="{C0F3AB39-DD3F-470A-9FF2-D601A3BCC7E3}">
      <dgm:prSet/>
      <dgm:spPr/>
      <dgm:t>
        <a:bodyPr/>
        <a:lstStyle/>
        <a:p>
          <a:endParaRPr lang="en-US"/>
        </a:p>
      </dgm:t>
    </dgm:pt>
    <dgm:pt modelId="{29B47168-C542-4D09-B4DF-86B5AF43F56B}" type="pres">
      <dgm:prSet presAssocID="{32DDF595-6248-4203-B5B1-8506738A0D53}" presName="Name0" presStyleCnt="0">
        <dgm:presLayoutVars>
          <dgm:dir/>
          <dgm:animLvl val="lvl"/>
          <dgm:resizeHandles val="exact"/>
        </dgm:presLayoutVars>
      </dgm:prSet>
      <dgm:spPr/>
    </dgm:pt>
    <dgm:pt modelId="{DB10E555-0C91-4180-B687-E8ECACDF44FE}" type="pres">
      <dgm:prSet presAssocID="{BB5609EE-8925-4DBB-B293-44CBCFC8D874}" presName="parTxOnly" presStyleLbl="node1" presStyleIdx="0" presStyleCnt="3">
        <dgm:presLayoutVars>
          <dgm:chMax val="0"/>
          <dgm:chPref val="0"/>
          <dgm:bulletEnabled val="1"/>
        </dgm:presLayoutVars>
      </dgm:prSet>
      <dgm:spPr/>
      <dgm:t>
        <a:bodyPr/>
        <a:lstStyle/>
        <a:p>
          <a:endParaRPr lang="en-US"/>
        </a:p>
      </dgm:t>
    </dgm:pt>
    <dgm:pt modelId="{4D2CA734-6F9E-4FBA-80FF-8C78D57F8868}" type="pres">
      <dgm:prSet presAssocID="{29971A94-1E54-45AC-8B30-864B472D420D}" presName="parTxOnlySpace" presStyleCnt="0"/>
      <dgm:spPr/>
    </dgm:pt>
    <dgm:pt modelId="{84388957-6FDC-4126-A4FA-52EDD40F872D}" type="pres">
      <dgm:prSet presAssocID="{59675CBB-37EF-42EE-B82D-6BD873B46193}" presName="parTxOnly" presStyleLbl="node1" presStyleIdx="1" presStyleCnt="3">
        <dgm:presLayoutVars>
          <dgm:chMax val="0"/>
          <dgm:chPref val="0"/>
          <dgm:bulletEnabled val="1"/>
        </dgm:presLayoutVars>
      </dgm:prSet>
      <dgm:spPr/>
      <dgm:t>
        <a:bodyPr/>
        <a:lstStyle/>
        <a:p>
          <a:endParaRPr lang="en-US"/>
        </a:p>
      </dgm:t>
    </dgm:pt>
    <dgm:pt modelId="{8063B440-32C1-4312-B0E6-7F6D253CB9BB}" type="pres">
      <dgm:prSet presAssocID="{EEF7FB1F-F0C3-4BE6-8AB5-EC655015E589}" presName="parTxOnlySpace" presStyleCnt="0"/>
      <dgm:spPr/>
    </dgm:pt>
    <dgm:pt modelId="{BEB74195-2B03-401D-AAA4-8385B3948D7D}" type="pres">
      <dgm:prSet presAssocID="{3BD7469E-7B15-420E-BADC-134C2694270E}" presName="parTxOnly" presStyleLbl="node1" presStyleIdx="2" presStyleCnt="3">
        <dgm:presLayoutVars>
          <dgm:chMax val="0"/>
          <dgm:chPref val="0"/>
          <dgm:bulletEnabled val="1"/>
        </dgm:presLayoutVars>
      </dgm:prSet>
      <dgm:spPr/>
      <dgm:t>
        <a:bodyPr/>
        <a:lstStyle/>
        <a:p>
          <a:endParaRPr lang="en-US"/>
        </a:p>
      </dgm:t>
    </dgm:pt>
  </dgm:ptLst>
  <dgm:cxnLst>
    <dgm:cxn modelId="{69C06F6E-EDBE-4861-AA41-E69BD1E80AF4}" type="presOf" srcId="{BB5609EE-8925-4DBB-B293-44CBCFC8D874}" destId="{DB10E555-0C91-4180-B687-E8ECACDF44FE}" srcOrd="0" destOrd="0" presId="urn:microsoft.com/office/officeart/2005/8/layout/chevron1"/>
    <dgm:cxn modelId="{CCD0D990-B22E-479E-8ED8-B9076BE7E065}" type="presOf" srcId="{59675CBB-37EF-42EE-B82D-6BD873B46193}" destId="{84388957-6FDC-4126-A4FA-52EDD40F872D}" srcOrd="0" destOrd="0" presId="urn:microsoft.com/office/officeart/2005/8/layout/chevron1"/>
    <dgm:cxn modelId="{CAAF080E-B599-45FB-8BFA-7A00CD0D8C1D}" srcId="{32DDF595-6248-4203-B5B1-8506738A0D53}" destId="{BB5609EE-8925-4DBB-B293-44CBCFC8D874}" srcOrd="0" destOrd="0" parTransId="{2E29870D-E05A-42F9-A64B-9B6A1B3A3D98}" sibTransId="{29971A94-1E54-45AC-8B30-864B472D420D}"/>
    <dgm:cxn modelId="{A056DCDB-1C87-4A1E-916D-1ACBDD75155D}" type="presOf" srcId="{32DDF595-6248-4203-B5B1-8506738A0D53}" destId="{29B47168-C542-4D09-B4DF-86B5AF43F56B}" srcOrd="0" destOrd="0" presId="urn:microsoft.com/office/officeart/2005/8/layout/chevron1"/>
    <dgm:cxn modelId="{C0F3AB39-DD3F-470A-9FF2-D601A3BCC7E3}" srcId="{32DDF595-6248-4203-B5B1-8506738A0D53}" destId="{3BD7469E-7B15-420E-BADC-134C2694270E}" srcOrd="2" destOrd="0" parTransId="{CAF84ED2-0A94-44E9-BDCE-07B0BE148E38}" sibTransId="{41C0A29F-A6BD-4B23-9544-3BA23AA31D2E}"/>
    <dgm:cxn modelId="{40E46F2B-B40A-425A-9809-50B0AA5B764F}" srcId="{32DDF595-6248-4203-B5B1-8506738A0D53}" destId="{59675CBB-37EF-42EE-B82D-6BD873B46193}" srcOrd="1" destOrd="0" parTransId="{D573DA8F-0E16-4AA4-AB1E-AAA77F11D1E3}" sibTransId="{EEF7FB1F-F0C3-4BE6-8AB5-EC655015E589}"/>
    <dgm:cxn modelId="{6E1F85F0-4A71-42D3-AE94-F0C7CE64B986}" type="presOf" srcId="{3BD7469E-7B15-420E-BADC-134C2694270E}" destId="{BEB74195-2B03-401D-AAA4-8385B3948D7D}" srcOrd="0" destOrd="0" presId="urn:microsoft.com/office/officeart/2005/8/layout/chevron1"/>
    <dgm:cxn modelId="{F5DABCCA-06DB-475E-8151-145992AFA8D9}" type="presParOf" srcId="{29B47168-C542-4D09-B4DF-86B5AF43F56B}" destId="{DB10E555-0C91-4180-B687-E8ECACDF44FE}" srcOrd="0" destOrd="0" presId="urn:microsoft.com/office/officeart/2005/8/layout/chevron1"/>
    <dgm:cxn modelId="{7192F3A5-8747-418A-A30E-5CD8F773D74D}" type="presParOf" srcId="{29B47168-C542-4D09-B4DF-86B5AF43F56B}" destId="{4D2CA734-6F9E-4FBA-80FF-8C78D57F8868}" srcOrd="1" destOrd="0" presId="urn:microsoft.com/office/officeart/2005/8/layout/chevron1"/>
    <dgm:cxn modelId="{657611F4-B197-49DE-8D9A-5A5952FC9EFA}" type="presParOf" srcId="{29B47168-C542-4D09-B4DF-86B5AF43F56B}" destId="{84388957-6FDC-4126-A4FA-52EDD40F872D}" srcOrd="2" destOrd="0" presId="urn:microsoft.com/office/officeart/2005/8/layout/chevron1"/>
    <dgm:cxn modelId="{D4EF2616-14F0-441F-9380-FC631A9EEB2F}" type="presParOf" srcId="{29B47168-C542-4D09-B4DF-86B5AF43F56B}" destId="{8063B440-32C1-4312-B0E6-7F6D253CB9BB}" srcOrd="3" destOrd="0" presId="urn:microsoft.com/office/officeart/2005/8/layout/chevron1"/>
    <dgm:cxn modelId="{9B81B898-B86B-400D-8E9D-3B00F0803D84}" type="presParOf" srcId="{29B47168-C542-4D09-B4DF-86B5AF43F56B}" destId="{BEB74195-2B03-401D-AAA4-8385B3948D7D}" srcOrd="4"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857A14-D7D8-459D-A93B-D8F18A4D9050}"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00D37530-5022-4542-95E7-71B402497C6F}">
      <dgm:prSet phldrT="[Text]" custT="1"/>
      <dgm:spPr>
        <a:solidFill>
          <a:schemeClr val="bg1">
            <a:lumMod val="75000"/>
          </a:schemeClr>
        </a:solidFill>
      </dgm:spPr>
      <dgm:t>
        <a:bodyPr/>
        <a:lstStyle/>
        <a:p>
          <a:pPr algn="ctr"/>
          <a:r>
            <a:rPr lang="en-US" sz="1400" b="1">
              <a:solidFill>
                <a:sysClr val="windowText" lastClr="000000"/>
              </a:solidFill>
            </a:rPr>
            <a:t>SBIR / STTR Evaluation Framework</a:t>
          </a:r>
        </a:p>
      </dgm:t>
    </dgm:pt>
    <dgm:pt modelId="{8BF6E22B-3B1F-4035-9C6B-BA77701CDF88}" type="parTrans" cxnId="{1486919E-85CB-4B6E-A709-21C1C4DEC88A}">
      <dgm:prSet/>
      <dgm:spPr/>
      <dgm:t>
        <a:bodyPr/>
        <a:lstStyle/>
        <a:p>
          <a:pPr algn="ctr"/>
          <a:endParaRPr lang="en-US" sz="2000"/>
        </a:p>
      </dgm:t>
    </dgm:pt>
    <dgm:pt modelId="{4FF71370-F276-4FB4-9B74-C2802C3BF5A7}" type="sibTrans" cxnId="{1486919E-85CB-4B6E-A709-21C1C4DEC88A}">
      <dgm:prSet/>
      <dgm:spPr/>
      <dgm:t>
        <a:bodyPr/>
        <a:lstStyle/>
        <a:p>
          <a:pPr algn="ctr"/>
          <a:endParaRPr lang="en-US" sz="2000"/>
        </a:p>
      </dgm:t>
    </dgm:pt>
    <dgm:pt modelId="{D6114D9A-8270-4AAB-A051-002CC3911F55}">
      <dgm:prSet phldrT="[Text]" custT="1"/>
      <dgm:spPr>
        <a:solidFill>
          <a:schemeClr val="tx1">
            <a:lumMod val="65000"/>
            <a:lumOff val="35000"/>
          </a:schemeClr>
        </a:solidFill>
      </dgm:spPr>
      <dgm:t>
        <a:bodyPr/>
        <a:lstStyle/>
        <a:p>
          <a:pPr algn="ctr"/>
          <a:r>
            <a:rPr lang="en-US" sz="1050"/>
            <a:t>1. Engage Stakeholders</a:t>
          </a:r>
        </a:p>
      </dgm:t>
    </dgm:pt>
    <dgm:pt modelId="{93C235A3-EF44-47A8-A342-4FFAF7CFDAEF}" type="parTrans" cxnId="{2CB7C645-53B4-4CF3-99BB-31FE74235CA0}">
      <dgm:prSet/>
      <dgm:spPr/>
      <dgm:t>
        <a:bodyPr/>
        <a:lstStyle/>
        <a:p>
          <a:pPr algn="ctr"/>
          <a:endParaRPr lang="en-US" sz="2000"/>
        </a:p>
      </dgm:t>
    </dgm:pt>
    <dgm:pt modelId="{F4040A10-962C-4CAA-BC6F-10152F6C25AB}" type="sibTrans" cxnId="{2CB7C645-53B4-4CF3-99BB-31FE74235CA0}">
      <dgm:prSet/>
      <dgm:spPr/>
      <dgm:t>
        <a:bodyPr/>
        <a:lstStyle/>
        <a:p>
          <a:pPr algn="ctr"/>
          <a:endParaRPr lang="en-US" sz="2000"/>
        </a:p>
      </dgm:t>
    </dgm:pt>
    <dgm:pt modelId="{4FA91779-EE5C-4DAC-B558-18A4EC7A1AD4}">
      <dgm:prSet phldrT="[Text]" custT="1"/>
      <dgm:spPr>
        <a:solidFill>
          <a:schemeClr val="tx1">
            <a:lumMod val="65000"/>
            <a:lumOff val="35000"/>
          </a:schemeClr>
        </a:solidFill>
      </dgm:spPr>
      <dgm:t>
        <a:bodyPr/>
        <a:lstStyle/>
        <a:p>
          <a:pPr algn="ctr"/>
          <a:r>
            <a:rPr lang="en-US" sz="1050"/>
            <a:t>2.  Describe the Program</a:t>
          </a:r>
        </a:p>
      </dgm:t>
    </dgm:pt>
    <dgm:pt modelId="{EA3F303B-5954-4A7D-9015-E7749C8EDE19}" type="parTrans" cxnId="{1ADE8B17-07CD-4AE7-9132-0962FD6FF3B0}">
      <dgm:prSet/>
      <dgm:spPr/>
      <dgm:t>
        <a:bodyPr/>
        <a:lstStyle/>
        <a:p>
          <a:pPr algn="ctr"/>
          <a:endParaRPr lang="en-US" sz="2000"/>
        </a:p>
      </dgm:t>
    </dgm:pt>
    <dgm:pt modelId="{1120B04C-9858-422C-87EB-FD625A528CD3}" type="sibTrans" cxnId="{1ADE8B17-07CD-4AE7-9132-0962FD6FF3B0}">
      <dgm:prSet/>
      <dgm:spPr/>
      <dgm:t>
        <a:bodyPr/>
        <a:lstStyle/>
        <a:p>
          <a:pPr algn="ctr"/>
          <a:endParaRPr lang="en-US" sz="2000"/>
        </a:p>
      </dgm:t>
    </dgm:pt>
    <dgm:pt modelId="{4AB03BE0-7410-404D-8A21-01542496EA77}">
      <dgm:prSet phldrT="[Text]" custT="1"/>
      <dgm:spPr>
        <a:ln w="38100">
          <a:solidFill>
            <a:schemeClr val="tx1"/>
          </a:solidFill>
        </a:ln>
      </dgm:spPr>
      <dgm:t>
        <a:bodyPr/>
        <a:lstStyle/>
        <a:p>
          <a:pPr algn="ctr"/>
          <a:r>
            <a:rPr lang="en-US" sz="1050"/>
            <a:t>3.  Focus the Design</a:t>
          </a:r>
        </a:p>
      </dgm:t>
    </dgm:pt>
    <dgm:pt modelId="{0769F185-FE5A-4988-8C6C-BCB46219105A}" type="parTrans" cxnId="{64731022-4AF4-4629-86C5-87A3575174A3}">
      <dgm:prSet/>
      <dgm:spPr/>
      <dgm:t>
        <a:bodyPr/>
        <a:lstStyle/>
        <a:p>
          <a:pPr algn="ctr"/>
          <a:endParaRPr lang="en-US" sz="2000"/>
        </a:p>
      </dgm:t>
    </dgm:pt>
    <dgm:pt modelId="{E54E5F3D-137C-4598-B525-3F72F7493E98}" type="sibTrans" cxnId="{64731022-4AF4-4629-86C5-87A3575174A3}">
      <dgm:prSet/>
      <dgm:spPr/>
      <dgm:t>
        <a:bodyPr/>
        <a:lstStyle/>
        <a:p>
          <a:pPr algn="ctr"/>
          <a:endParaRPr lang="en-US" sz="2000"/>
        </a:p>
      </dgm:t>
    </dgm:pt>
    <dgm:pt modelId="{021B2DF3-8A24-46B7-BF5B-14BAA825B209}">
      <dgm:prSet phldrT="[Text]" custT="1"/>
      <dgm:spPr/>
      <dgm:t>
        <a:bodyPr/>
        <a:lstStyle/>
        <a:p>
          <a:pPr algn="ctr"/>
          <a:r>
            <a:rPr lang="en-US" sz="1050"/>
            <a:t>4.  Gather Data</a:t>
          </a:r>
        </a:p>
      </dgm:t>
    </dgm:pt>
    <dgm:pt modelId="{C5BEF00D-C34E-45FC-A241-C090870A3A84}" type="parTrans" cxnId="{5268AD76-7F4B-4052-B9EE-76411DCA9C9B}">
      <dgm:prSet/>
      <dgm:spPr/>
      <dgm:t>
        <a:bodyPr/>
        <a:lstStyle/>
        <a:p>
          <a:pPr algn="ctr"/>
          <a:endParaRPr lang="en-US" sz="2000"/>
        </a:p>
      </dgm:t>
    </dgm:pt>
    <dgm:pt modelId="{8DF6ACB3-A51E-41A9-974B-6B0D32397E7F}" type="sibTrans" cxnId="{5268AD76-7F4B-4052-B9EE-76411DCA9C9B}">
      <dgm:prSet/>
      <dgm:spPr/>
      <dgm:t>
        <a:bodyPr/>
        <a:lstStyle/>
        <a:p>
          <a:pPr algn="ctr"/>
          <a:endParaRPr lang="en-US" sz="2000"/>
        </a:p>
      </dgm:t>
    </dgm:pt>
    <dgm:pt modelId="{DA4FF38A-EA62-4BA8-8424-490B1A2C0D75}">
      <dgm:prSet phldrT="[Text]" custT="1"/>
      <dgm:spPr/>
      <dgm:t>
        <a:bodyPr/>
        <a:lstStyle/>
        <a:p>
          <a:pPr algn="ctr"/>
          <a:r>
            <a:rPr lang="en-US" sz="1050"/>
            <a:t>5.  Draw Conclusions</a:t>
          </a:r>
        </a:p>
      </dgm:t>
    </dgm:pt>
    <dgm:pt modelId="{A74ADFBE-EC46-4497-BF3D-E3BED67040A6}" type="parTrans" cxnId="{1E23A31D-B9AC-4E16-B030-D164DE681DC4}">
      <dgm:prSet/>
      <dgm:spPr/>
      <dgm:t>
        <a:bodyPr/>
        <a:lstStyle/>
        <a:p>
          <a:pPr algn="ctr"/>
          <a:endParaRPr lang="en-US" sz="2000"/>
        </a:p>
      </dgm:t>
    </dgm:pt>
    <dgm:pt modelId="{1D1E78DA-A339-43C8-B59E-973AB55F5BBC}" type="sibTrans" cxnId="{1E23A31D-B9AC-4E16-B030-D164DE681DC4}">
      <dgm:prSet/>
      <dgm:spPr/>
      <dgm:t>
        <a:bodyPr/>
        <a:lstStyle/>
        <a:p>
          <a:pPr algn="ctr"/>
          <a:endParaRPr lang="en-US" sz="2000"/>
        </a:p>
      </dgm:t>
    </dgm:pt>
    <dgm:pt modelId="{AF1C3E7D-BC46-4F3B-B5E9-B40900CAB4FE}">
      <dgm:prSet phldrT="[Text]" custT="1"/>
      <dgm:spPr/>
      <dgm:t>
        <a:bodyPr/>
        <a:lstStyle/>
        <a:p>
          <a:pPr algn="ctr"/>
          <a:r>
            <a:rPr lang="en-US" sz="1050"/>
            <a:t>6.  Present findings</a:t>
          </a:r>
        </a:p>
      </dgm:t>
    </dgm:pt>
    <dgm:pt modelId="{05C30A21-A88C-4282-B5E6-FD1348198B14}" type="parTrans" cxnId="{FF27808F-3CA9-45D3-96A7-75EE40D31114}">
      <dgm:prSet/>
      <dgm:spPr/>
      <dgm:t>
        <a:bodyPr/>
        <a:lstStyle/>
        <a:p>
          <a:pPr algn="ctr"/>
          <a:endParaRPr lang="en-US" sz="2000"/>
        </a:p>
      </dgm:t>
    </dgm:pt>
    <dgm:pt modelId="{E4B6CF41-0B05-4AC3-8B59-D63A92EEEC6B}" type="sibTrans" cxnId="{FF27808F-3CA9-45D3-96A7-75EE40D31114}">
      <dgm:prSet/>
      <dgm:spPr/>
      <dgm:t>
        <a:bodyPr/>
        <a:lstStyle/>
        <a:p>
          <a:pPr algn="ctr"/>
          <a:endParaRPr lang="en-US" sz="2000"/>
        </a:p>
      </dgm:t>
    </dgm:pt>
    <dgm:pt modelId="{D3A066DE-D512-4FD4-A440-50152798166C}" type="pres">
      <dgm:prSet presAssocID="{3F857A14-D7D8-459D-A93B-D8F18A4D9050}" presName="Name0" presStyleCnt="0">
        <dgm:presLayoutVars>
          <dgm:chMax val="1"/>
          <dgm:dir/>
          <dgm:animLvl val="ctr"/>
          <dgm:resizeHandles val="exact"/>
        </dgm:presLayoutVars>
      </dgm:prSet>
      <dgm:spPr/>
      <dgm:t>
        <a:bodyPr/>
        <a:lstStyle/>
        <a:p>
          <a:endParaRPr lang="en-US"/>
        </a:p>
      </dgm:t>
    </dgm:pt>
    <dgm:pt modelId="{32CBA8D3-E828-41A6-B45C-8899F963777E}" type="pres">
      <dgm:prSet presAssocID="{00D37530-5022-4542-95E7-71B402497C6F}" presName="centerShape" presStyleLbl="node0" presStyleIdx="0" presStyleCnt="1" custScaleX="109206"/>
      <dgm:spPr/>
      <dgm:t>
        <a:bodyPr/>
        <a:lstStyle/>
        <a:p>
          <a:endParaRPr lang="en-US"/>
        </a:p>
      </dgm:t>
    </dgm:pt>
    <dgm:pt modelId="{26563782-B198-4C10-A4AC-A71448F6EAD7}" type="pres">
      <dgm:prSet presAssocID="{D6114D9A-8270-4AAB-A051-002CC3911F55}" presName="node" presStyleLbl="node1" presStyleIdx="0" presStyleCnt="6" custScaleX="124545" custScaleY="92791">
        <dgm:presLayoutVars>
          <dgm:bulletEnabled val="1"/>
        </dgm:presLayoutVars>
      </dgm:prSet>
      <dgm:spPr/>
      <dgm:t>
        <a:bodyPr/>
        <a:lstStyle/>
        <a:p>
          <a:endParaRPr lang="en-US"/>
        </a:p>
      </dgm:t>
    </dgm:pt>
    <dgm:pt modelId="{87988788-BA5E-4DD3-9B4D-9E5F28E6F0D8}" type="pres">
      <dgm:prSet presAssocID="{D6114D9A-8270-4AAB-A051-002CC3911F55}" presName="dummy" presStyleCnt="0"/>
      <dgm:spPr/>
    </dgm:pt>
    <dgm:pt modelId="{9E8E521E-AB22-4D1F-A191-54C14F852F8F}" type="pres">
      <dgm:prSet presAssocID="{F4040A10-962C-4CAA-BC6F-10152F6C25AB}" presName="sibTrans" presStyleLbl="sibTrans2D1" presStyleIdx="0" presStyleCnt="6"/>
      <dgm:spPr/>
      <dgm:t>
        <a:bodyPr/>
        <a:lstStyle/>
        <a:p>
          <a:endParaRPr lang="en-US"/>
        </a:p>
      </dgm:t>
    </dgm:pt>
    <dgm:pt modelId="{03AAD6C6-09AC-4ACA-BAD2-6E85863D6676}" type="pres">
      <dgm:prSet presAssocID="{4FA91779-EE5C-4DAC-B558-18A4EC7A1AD4}" presName="node" presStyleLbl="node1" presStyleIdx="1" presStyleCnt="6" custScaleX="142835" custScaleY="84115">
        <dgm:presLayoutVars>
          <dgm:bulletEnabled val="1"/>
        </dgm:presLayoutVars>
      </dgm:prSet>
      <dgm:spPr/>
      <dgm:t>
        <a:bodyPr/>
        <a:lstStyle/>
        <a:p>
          <a:endParaRPr lang="en-US"/>
        </a:p>
      </dgm:t>
    </dgm:pt>
    <dgm:pt modelId="{8263B0DC-7A8F-4921-BE7D-F7AA867AEA9D}" type="pres">
      <dgm:prSet presAssocID="{4FA91779-EE5C-4DAC-B558-18A4EC7A1AD4}" presName="dummy" presStyleCnt="0"/>
      <dgm:spPr/>
    </dgm:pt>
    <dgm:pt modelId="{50A5D96D-79D9-4C33-8E7F-B00B49B7CE7A}" type="pres">
      <dgm:prSet presAssocID="{1120B04C-9858-422C-87EB-FD625A528CD3}" presName="sibTrans" presStyleLbl="sibTrans2D1" presStyleIdx="1" presStyleCnt="6"/>
      <dgm:spPr/>
      <dgm:t>
        <a:bodyPr/>
        <a:lstStyle/>
        <a:p>
          <a:endParaRPr lang="en-US"/>
        </a:p>
      </dgm:t>
    </dgm:pt>
    <dgm:pt modelId="{DBC880F6-2102-4CAB-84FD-02AA52E388F0}" type="pres">
      <dgm:prSet presAssocID="{4AB03BE0-7410-404D-8A21-01542496EA77}" presName="node" presStyleLbl="node1" presStyleIdx="2" presStyleCnt="6" custScaleX="138261" custScaleY="95412">
        <dgm:presLayoutVars>
          <dgm:bulletEnabled val="1"/>
        </dgm:presLayoutVars>
      </dgm:prSet>
      <dgm:spPr/>
      <dgm:t>
        <a:bodyPr/>
        <a:lstStyle/>
        <a:p>
          <a:endParaRPr lang="en-US"/>
        </a:p>
      </dgm:t>
    </dgm:pt>
    <dgm:pt modelId="{3E94E651-6435-44D6-93DE-43AB2BF1F2DE}" type="pres">
      <dgm:prSet presAssocID="{4AB03BE0-7410-404D-8A21-01542496EA77}" presName="dummy" presStyleCnt="0"/>
      <dgm:spPr/>
    </dgm:pt>
    <dgm:pt modelId="{5EAFA72C-14B0-434C-B94C-EB8F0D335D69}" type="pres">
      <dgm:prSet presAssocID="{E54E5F3D-137C-4598-B525-3F72F7493E98}" presName="sibTrans" presStyleLbl="sibTrans2D1" presStyleIdx="2" presStyleCnt="6"/>
      <dgm:spPr/>
      <dgm:t>
        <a:bodyPr/>
        <a:lstStyle/>
        <a:p>
          <a:endParaRPr lang="en-US"/>
        </a:p>
      </dgm:t>
    </dgm:pt>
    <dgm:pt modelId="{445AFD15-14D6-47CA-B33B-86FEBFFD119C}" type="pres">
      <dgm:prSet presAssocID="{021B2DF3-8A24-46B7-BF5B-14BAA825B209}" presName="node" presStyleLbl="node1" presStyleIdx="3" presStyleCnt="6" custScaleX="141593">
        <dgm:presLayoutVars>
          <dgm:bulletEnabled val="1"/>
        </dgm:presLayoutVars>
      </dgm:prSet>
      <dgm:spPr/>
      <dgm:t>
        <a:bodyPr/>
        <a:lstStyle/>
        <a:p>
          <a:endParaRPr lang="en-US"/>
        </a:p>
      </dgm:t>
    </dgm:pt>
    <dgm:pt modelId="{157A2CA2-D359-42D8-9392-B6D8A6B1070C}" type="pres">
      <dgm:prSet presAssocID="{021B2DF3-8A24-46B7-BF5B-14BAA825B209}" presName="dummy" presStyleCnt="0"/>
      <dgm:spPr/>
    </dgm:pt>
    <dgm:pt modelId="{1E2EF93D-8D2E-4B59-A5BF-9E14ACA97938}" type="pres">
      <dgm:prSet presAssocID="{8DF6ACB3-A51E-41A9-974B-6B0D32397E7F}" presName="sibTrans" presStyleLbl="sibTrans2D1" presStyleIdx="3" presStyleCnt="6"/>
      <dgm:spPr/>
      <dgm:t>
        <a:bodyPr/>
        <a:lstStyle/>
        <a:p>
          <a:endParaRPr lang="en-US"/>
        </a:p>
      </dgm:t>
    </dgm:pt>
    <dgm:pt modelId="{A1CB0D0A-FD19-498F-AE1F-5DAF84EB56AF}" type="pres">
      <dgm:prSet presAssocID="{DA4FF38A-EA62-4BA8-8424-490B1A2C0D75}" presName="node" presStyleLbl="node1" presStyleIdx="4" presStyleCnt="6" custScaleX="140753" custScaleY="87556">
        <dgm:presLayoutVars>
          <dgm:bulletEnabled val="1"/>
        </dgm:presLayoutVars>
      </dgm:prSet>
      <dgm:spPr/>
      <dgm:t>
        <a:bodyPr/>
        <a:lstStyle/>
        <a:p>
          <a:endParaRPr lang="en-US"/>
        </a:p>
      </dgm:t>
    </dgm:pt>
    <dgm:pt modelId="{6BB07C99-D9D5-4B41-99B2-8FE1499C5AE2}" type="pres">
      <dgm:prSet presAssocID="{DA4FF38A-EA62-4BA8-8424-490B1A2C0D75}" presName="dummy" presStyleCnt="0"/>
      <dgm:spPr/>
    </dgm:pt>
    <dgm:pt modelId="{BE6414B7-9FF4-4889-ACE6-31FB51DF5657}" type="pres">
      <dgm:prSet presAssocID="{1D1E78DA-A339-43C8-B59E-973AB55F5BBC}" presName="sibTrans" presStyleLbl="sibTrans2D1" presStyleIdx="4" presStyleCnt="6"/>
      <dgm:spPr/>
      <dgm:t>
        <a:bodyPr/>
        <a:lstStyle/>
        <a:p>
          <a:endParaRPr lang="en-US"/>
        </a:p>
      </dgm:t>
    </dgm:pt>
    <dgm:pt modelId="{8839BCD8-6772-4FD2-95A0-F7F0618A0C76}" type="pres">
      <dgm:prSet presAssocID="{AF1C3E7D-BC46-4F3B-B5E9-B40900CAB4FE}" presName="node" presStyleLbl="node1" presStyleIdx="5" presStyleCnt="6" custScaleX="134100" custScaleY="92432">
        <dgm:presLayoutVars>
          <dgm:bulletEnabled val="1"/>
        </dgm:presLayoutVars>
      </dgm:prSet>
      <dgm:spPr/>
      <dgm:t>
        <a:bodyPr/>
        <a:lstStyle/>
        <a:p>
          <a:endParaRPr lang="en-US"/>
        </a:p>
      </dgm:t>
    </dgm:pt>
    <dgm:pt modelId="{EFD7992E-BB18-4344-A656-B735E3BCF52B}" type="pres">
      <dgm:prSet presAssocID="{AF1C3E7D-BC46-4F3B-B5E9-B40900CAB4FE}" presName="dummy" presStyleCnt="0"/>
      <dgm:spPr/>
    </dgm:pt>
    <dgm:pt modelId="{4FC1A734-1B60-4F4F-8196-C55225909837}" type="pres">
      <dgm:prSet presAssocID="{E4B6CF41-0B05-4AC3-8B59-D63A92EEEC6B}" presName="sibTrans" presStyleLbl="sibTrans2D1" presStyleIdx="5" presStyleCnt="6"/>
      <dgm:spPr/>
      <dgm:t>
        <a:bodyPr/>
        <a:lstStyle/>
        <a:p>
          <a:endParaRPr lang="en-US"/>
        </a:p>
      </dgm:t>
    </dgm:pt>
  </dgm:ptLst>
  <dgm:cxnLst>
    <dgm:cxn modelId="{8B499CE5-D54E-46AA-9058-0C38A0BEA3D9}" type="presOf" srcId="{D6114D9A-8270-4AAB-A051-002CC3911F55}" destId="{26563782-B198-4C10-A4AC-A71448F6EAD7}" srcOrd="0" destOrd="0" presId="urn:microsoft.com/office/officeart/2005/8/layout/radial6"/>
    <dgm:cxn modelId="{5268AD76-7F4B-4052-B9EE-76411DCA9C9B}" srcId="{00D37530-5022-4542-95E7-71B402497C6F}" destId="{021B2DF3-8A24-46B7-BF5B-14BAA825B209}" srcOrd="3" destOrd="0" parTransId="{C5BEF00D-C34E-45FC-A241-C090870A3A84}" sibTransId="{8DF6ACB3-A51E-41A9-974B-6B0D32397E7F}"/>
    <dgm:cxn modelId="{4E6EB34A-380A-4EDC-BA83-AAB9050AF06B}" type="presOf" srcId="{F4040A10-962C-4CAA-BC6F-10152F6C25AB}" destId="{9E8E521E-AB22-4D1F-A191-54C14F852F8F}" srcOrd="0" destOrd="0" presId="urn:microsoft.com/office/officeart/2005/8/layout/radial6"/>
    <dgm:cxn modelId="{64731022-4AF4-4629-86C5-87A3575174A3}" srcId="{00D37530-5022-4542-95E7-71B402497C6F}" destId="{4AB03BE0-7410-404D-8A21-01542496EA77}" srcOrd="2" destOrd="0" parTransId="{0769F185-FE5A-4988-8C6C-BCB46219105A}" sibTransId="{E54E5F3D-137C-4598-B525-3F72F7493E98}"/>
    <dgm:cxn modelId="{3B7E938D-7B02-4FDE-B7E2-AC1BF7F9C64C}" type="presOf" srcId="{3F857A14-D7D8-459D-A93B-D8F18A4D9050}" destId="{D3A066DE-D512-4FD4-A440-50152798166C}" srcOrd="0" destOrd="0" presId="urn:microsoft.com/office/officeart/2005/8/layout/radial6"/>
    <dgm:cxn modelId="{E582E235-A77D-4C84-A24A-66FC55BF73C2}" type="presOf" srcId="{1120B04C-9858-422C-87EB-FD625A528CD3}" destId="{50A5D96D-79D9-4C33-8E7F-B00B49B7CE7A}" srcOrd="0" destOrd="0" presId="urn:microsoft.com/office/officeart/2005/8/layout/radial6"/>
    <dgm:cxn modelId="{2CB7C645-53B4-4CF3-99BB-31FE74235CA0}" srcId="{00D37530-5022-4542-95E7-71B402497C6F}" destId="{D6114D9A-8270-4AAB-A051-002CC3911F55}" srcOrd="0" destOrd="0" parTransId="{93C235A3-EF44-47A8-A342-4FFAF7CFDAEF}" sibTransId="{F4040A10-962C-4CAA-BC6F-10152F6C25AB}"/>
    <dgm:cxn modelId="{108F9E0C-E658-42F5-B6D3-4C92830A1D70}" type="presOf" srcId="{00D37530-5022-4542-95E7-71B402497C6F}" destId="{32CBA8D3-E828-41A6-B45C-8899F963777E}" srcOrd="0" destOrd="0" presId="urn:microsoft.com/office/officeart/2005/8/layout/radial6"/>
    <dgm:cxn modelId="{98BC7E00-74AD-42C9-B343-310BEE084CDC}" type="presOf" srcId="{AF1C3E7D-BC46-4F3B-B5E9-B40900CAB4FE}" destId="{8839BCD8-6772-4FD2-95A0-F7F0618A0C76}" srcOrd="0" destOrd="0" presId="urn:microsoft.com/office/officeart/2005/8/layout/radial6"/>
    <dgm:cxn modelId="{3603A047-1993-4B8B-A47C-B8BCBD68B55F}" type="presOf" srcId="{DA4FF38A-EA62-4BA8-8424-490B1A2C0D75}" destId="{A1CB0D0A-FD19-498F-AE1F-5DAF84EB56AF}" srcOrd="0" destOrd="0" presId="urn:microsoft.com/office/officeart/2005/8/layout/radial6"/>
    <dgm:cxn modelId="{57AAC98B-39F3-42AD-9266-1F45EA7EDD57}" type="presOf" srcId="{E4B6CF41-0B05-4AC3-8B59-D63A92EEEC6B}" destId="{4FC1A734-1B60-4F4F-8196-C55225909837}" srcOrd="0" destOrd="0" presId="urn:microsoft.com/office/officeart/2005/8/layout/radial6"/>
    <dgm:cxn modelId="{FF27808F-3CA9-45D3-96A7-75EE40D31114}" srcId="{00D37530-5022-4542-95E7-71B402497C6F}" destId="{AF1C3E7D-BC46-4F3B-B5E9-B40900CAB4FE}" srcOrd="5" destOrd="0" parTransId="{05C30A21-A88C-4282-B5E6-FD1348198B14}" sibTransId="{E4B6CF41-0B05-4AC3-8B59-D63A92EEEC6B}"/>
    <dgm:cxn modelId="{1486919E-85CB-4B6E-A709-21C1C4DEC88A}" srcId="{3F857A14-D7D8-459D-A93B-D8F18A4D9050}" destId="{00D37530-5022-4542-95E7-71B402497C6F}" srcOrd="0" destOrd="0" parTransId="{8BF6E22B-3B1F-4035-9C6B-BA77701CDF88}" sibTransId="{4FF71370-F276-4FB4-9B74-C2802C3BF5A7}"/>
    <dgm:cxn modelId="{FAEC5F47-0C6F-4199-9131-78913AEEE3EF}" type="presOf" srcId="{4AB03BE0-7410-404D-8A21-01542496EA77}" destId="{DBC880F6-2102-4CAB-84FD-02AA52E388F0}" srcOrd="0" destOrd="0" presId="urn:microsoft.com/office/officeart/2005/8/layout/radial6"/>
    <dgm:cxn modelId="{5D89B5A0-65B0-4974-9499-91CCC1A1A9C6}" type="presOf" srcId="{4FA91779-EE5C-4DAC-B558-18A4EC7A1AD4}" destId="{03AAD6C6-09AC-4ACA-BAD2-6E85863D6676}" srcOrd="0" destOrd="0" presId="urn:microsoft.com/office/officeart/2005/8/layout/radial6"/>
    <dgm:cxn modelId="{5BF68DE6-BC4E-495B-926C-D74BC7B90D40}" type="presOf" srcId="{8DF6ACB3-A51E-41A9-974B-6B0D32397E7F}" destId="{1E2EF93D-8D2E-4B59-A5BF-9E14ACA97938}" srcOrd="0" destOrd="0" presId="urn:microsoft.com/office/officeart/2005/8/layout/radial6"/>
    <dgm:cxn modelId="{1E23A31D-B9AC-4E16-B030-D164DE681DC4}" srcId="{00D37530-5022-4542-95E7-71B402497C6F}" destId="{DA4FF38A-EA62-4BA8-8424-490B1A2C0D75}" srcOrd="4" destOrd="0" parTransId="{A74ADFBE-EC46-4497-BF3D-E3BED67040A6}" sibTransId="{1D1E78DA-A339-43C8-B59E-973AB55F5BBC}"/>
    <dgm:cxn modelId="{AE7BFD96-4B7A-49AE-A8C1-F42482B9A079}" type="presOf" srcId="{1D1E78DA-A339-43C8-B59E-973AB55F5BBC}" destId="{BE6414B7-9FF4-4889-ACE6-31FB51DF5657}" srcOrd="0" destOrd="0" presId="urn:microsoft.com/office/officeart/2005/8/layout/radial6"/>
    <dgm:cxn modelId="{1ADE8B17-07CD-4AE7-9132-0962FD6FF3B0}" srcId="{00D37530-5022-4542-95E7-71B402497C6F}" destId="{4FA91779-EE5C-4DAC-B558-18A4EC7A1AD4}" srcOrd="1" destOrd="0" parTransId="{EA3F303B-5954-4A7D-9015-E7749C8EDE19}" sibTransId="{1120B04C-9858-422C-87EB-FD625A528CD3}"/>
    <dgm:cxn modelId="{FB932F5B-7BF3-4153-90C6-78D8CCE7B94D}" type="presOf" srcId="{E54E5F3D-137C-4598-B525-3F72F7493E98}" destId="{5EAFA72C-14B0-434C-B94C-EB8F0D335D69}" srcOrd="0" destOrd="0" presId="urn:microsoft.com/office/officeart/2005/8/layout/radial6"/>
    <dgm:cxn modelId="{1CA0A8DA-6A2A-4286-995B-DD346050E75D}" type="presOf" srcId="{021B2DF3-8A24-46B7-BF5B-14BAA825B209}" destId="{445AFD15-14D6-47CA-B33B-86FEBFFD119C}" srcOrd="0" destOrd="0" presId="urn:microsoft.com/office/officeart/2005/8/layout/radial6"/>
    <dgm:cxn modelId="{8EC369DA-D0A6-4FD2-8B4B-B1E581F3E21D}" type="presParOf" srcId="{D3A066DE-D512-4FD4-A440-50152798166C}" destId="{32CBA8D3-E828-41A6-B45C-8899F963777E}" srcOrd="0" destOrd="0" presId="urn:microsoft.com/office/officeart/2005/8/layout/radial6"/>
    <dgm:cxn modelId="{BC286A5E-1FFD-4431-903F-7998CDB60F74}" type="presParOf" srcId="{D3A066DE-D512-4FD4-A440-50152798166C}" destId="{26563782-B198-4C10-A4AC-A71448F6EAD7}" srcOrd="1" destOrd="0" presId="urn:microsoft.com/office/officeart/2005/8/layout/radial6"/>
    <dgm:cxn modelId="{66F70207-D672-4FC1-A038-04C7A95F0244}" type="presParOf" srcId="{D3A066DE-D512-4FD4-A440-50152798166C}" destId="{87988788-BA5E-4DD3-9B4D-9E5F28E6F0D8}" srcOrd="2" destOrd="0" presId="urn:microsoft.com/office/officeart/2005/8/layout/radial6"/>
    <dgm:cxn modelId="{F5D82378-8B09-4887-BCEF-86C2183E8825}" type="presParOf" srcId="{D3A066DE-D512-4FD4-A440-50152798166C}" destId="{9E8E521E-AB22-4D1F-A191-54C14F852F8F}" srcOrd="3" destOrd="0" presId="urn:microsoft.com/office/officeart/2005/8/layout/radial6"/>
    <dgm:cxn modelId="{6D4B0987-F073-43D5-8A81-C7E41BBFF358}" type="presParOf" srcId="{D3A066DE-D512-4FD4-A440-50152798166C}" destId="{03AAD6C6-09AC-4ACA-BAD2-6E85863D6676}" srcOrd="4" destOrd="0" presId="urn:microsoft.com/office/officeart/2005/8/layout/radial6"/>
    <dgm:cxn modelId="{D5F53B03-D272-4D0D-8E77-F06976D21AE2}" type="presParOf" srcId="{D3A066DE-D512-4FD4-A440-50152798166C}" destId="{8263B0DC-7A8F-4921-BE7D-F7AA867AEA9D}" srcOrd="5" destOrd="0" presId="urn:microsoft.com/office/officeart/2005/8/layout/radial6"/>
    <dgm:cxn modelId="{307D5BCC-3828-4936-A852-15867F9C12E6}" type="presParOf" srcId="{D3A066DE-D512-4FD4-A440-50152798166C}" destId="{50A5D96D-79D9-4C33-8E7F-B00B49B7CE7A}" srcOrd="6" destOrd="0" presId="urn:microsoft.com/office/officeart/2005/8/layout/radial6"/>
    <dgm:cxn modelId="{D8272CD6-8181-47B9-9FE3-98F4D75A7826}" type="presParOf" srcId="{D3A066DE-D512-4FD4-A440-50152798166C}" destId="{DBC880F6-2102-4CAB-84FD-02AA52E388F0}" srcOrd="7" destOrd="0" presId="urn:microsoft.com/office/officeart/2005/8/layout/radial6"/>
    <dgm:cxn modelId="{AB85BCCE-A793-4C7B-88D8-3C88BDC84736}" type="presParOf" srcId="{D3A066DE-D512-4FD4-A440-50152798166C}" destId="{3E94E651-6435-44D6-93DE-43AB2BF1F2DE}" srcOrd="8" destOrd="0" presId="urn:microsoft.com/office/officeart/2005/8/layout/radial6"/>
    <dgm:cxn modelId="{400F7BAA-986A-41DD-BBA4-E04E456A670F}" type="presParOf" srcId="{D3A066DE-D512-4FD4-A440-50152798166C}" destId="{5EAFA72C-14B0-434C-B94C-EB8F0D335D69}" srcOrd="9" destOrd="0" presId="urn:microsoft.com/office/officeart/2005/8/layout/radial6"/>
    <dgm:cxn modelId="{083A68DC-E4B3-4DD8-A042-0F6204169EED}" type="presParOf" srcId="{D3A066DE-D512-4FD4-A440-50152798166C}" destId="{445AFD15-14D6-47CA-B33B-86FEBFFD119C}" srcOrd="10" destOrd="0" presId="urn:microsoft.com/office/officeart/2005/8/layout/radial6"/>
    <dgm:cxn modelId="{5F92D932-E8A9-4B0F-A056-F407C8588BB8}" type="presParOf" srcId="{D3A066DE-D512-4FD4-A440-50152798166C}" destId="{157A2CA2-D359-42D8-9392-B6D8A6B1070C}" srcOrd="11" destOrd="0" presId="urn:microsoft.com/office/officeart/2005/8/layout/radial6"/>
    <dgm:cxn modelId="{52244EBF-8AD1-4DF7-B5BB-1B8D1B88950B}" type="presParOf" srcId="{D3A066DE-D512-4FD4-A440-50152798166C}" destId="{1E2EF93D-8D2E-4B59-A5BF-9E14ACA97938}" srcOrd="12" destOrd="0" presId="urn:microsoft.com/office/officeart/2005/8/layout/radial6"/>
    <dgm:cxn modelId="{648E026B-D352-4ACA-BF6C-80FDAA967736}" type="presParOf" srcId="{D3A066DE-D512-4FD4-A440-50152798166C}" destId="{A1CB0D0A-FD19-498F-AE1F-5DAF84EB56AF}" srcOrd="13" destOrd="0" presId="urn:microsoft.com/office/officeart/2005/8/layout/radial6"/>
    <dgm:cxn modelId="{2EF60550-144C-499D-8CD0-373E17CEA122}" type="presParOf" srcId="{D3A066DE-D512-4FD4-A440-50152798166C}" destId="{6BB07C99-D9D5-4B41-99B2-8FE1499C5AE2}" srcOrd="14" destOrd="0" presId="urn:microsoft.com/office/officeart/2005/8/layout/radial6"/>
    <dgm:cxn modelId="{513F70E0-4EFF-4D8B-830D-D04F7766DED6}" type="presParOf" srcId="{D3A066DE-D512-4FD4-A440-50152798166C}" destId="{BE6414B7-9FF4-4889-ACE6-31FB51DF5657}" srcOrd="15" destOrd="0" presId="urn:microsoft.com/office/officeart/2005/8/layout/radial6"/>
    <dgm:cxn modelId="{A7DC25F3-7475-4A62-A8A4-63D9730304D2}" type="presParOf" srcId="{D3A066DE-D512-4FD4-A440-50152798166C}" destId="{8839BCD8-6772-4FD2-95A0-F7F0618A0C76}" srcOrd="16" destOrd="0" presId="urn:microsoft.com/office/officeart/2005/8/layout/radial6"/>
    <dgm:cxn modelId="{0DCE1D9A-5794-45CA-809D-C7FEF3AF34A5}" type="presParOf" srcId="{D3A066DE-D512-4FD4-A440-50152798166C}" destId="{EFD7992E-BB18-4344-A656-B735E3BCF52B}" srcOrd="17" destOrd="0" presId="urn:microsoft.com/office/officeart/2005/8/layout/radial6"/>
    <dgm:cxn modelId="{8D9FC473-E253-428A-8246-F271A236387F}" type="presParOf" srcId="{D3A066DE-D512-4FD4-A440-50152798166C}" destId="{4FC1A734-1B60-4F4F-8196-C55225909837}" srcOrd="18" destOrd="0" presId="urn:microsoft.com/office/officeart/2005/8/layout/radial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0E555-0C91-4180-B687-E8ECACDF44FE}">
      <dsp:nvSpPr>
        <dsp:cNvPr id="0" name=""/>
        <dsp:cNvSpPr/>
      </dsp:nvSpPr>
      <dsp:spPr>
        <a:xfrm>
          <a:off x="1789" y="211537"/>
          <a:ext cx="2180812" cy="872324"/>
        </a:xfrm>
        <a:prstGeom prst="chevron">
          <a:avLst/>
        </a:prstGeom>
        <a:solidFill>
          <a:schemeClr val="accent3">
            <a:lumMod val="40000"/>
            <a:lumOff val="6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Phase I - Feasibility/ Proof of Concept </a:t>
          </a:r>
        </a:p>
        <a:p>
          <a:pPr lvl="0" algn="ctr" defTabSz="444500">
            <a:lnSpc>
              <a:spcPct val="90000"/>
            </a:lnSpc>
            <a:spcBef>
              <a:spcPct val="0"/>
            </a:spcBef>
            <a:spcAft>
              <a:spcPct val="35000"/>
            </a:spcAft>
          </a:pPr>
          <a:r>
            <a:rPr lang="en-US" sz="1000" kern="1200">
              <a:solidFill>
                <a:sysClr val="windowText" lastClr="000000"/>
              </a:solidFill>
            </a:rPr>
            <a:t>Up to $150,000 </a:t>
          </a:r>
        </a:p>
        <a:p>
          <a:pPr lvl="0" algn="ctr" defTabSz="444500">
            <a:lnSpc>
              <a:spcPct val="90000"/>
            </a:lnSpc>
            <a:spcBef>
              <a:spcPct val="0"/>
            </a:spcBef>
            <a:spcAft>
              <a:spcPct val="35000"/>
            </a:spcAft>
          </a:pPr>
          <a:r>
            <a:rPr lang="en-US" sz="1000" kern="1200">
              <a:solidFill>
                <a:sysClr val="windowText" lastClr="000000"/>
              </a:solidFill>
            </a:rPr>
            <a:t>6 months </a:t>
          </a:r>
        </a:p>
      </dsp:txBody>
      <dsp:txXfrm>
        <a:off x="437951" y="211537"/>
        <a:ext cx="1308488" cy="872324"/>
      </dsp:txXfrm>
    </dsp:sp>
    <dsp:sp modelId="{84388957-6FDC-4126-A4FA-52EDD40F872D}">
      <dsp:nvSpPr>
        <dsp:cNvPr id="0" name=""/>
        <dsp:cNvSpPr/>
      </dsp:nvSpPr>
      <dsp:spPr>
        <a:xfrm>
          <a:off x="1964520" y="211537"/>
          <a:ext cx="2180812" cy="872324"/>
        </a:xfrm>
        <a:prstGeom prst="chevron">
          <a:avLst/>
        </a:prstGeom>
        <a:solidFill>
          <a:schemeClr val="accent3"/>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Phase II - Full Research and Development</a:t>
          </a:r>
        </a:p>
        <a:p>
          <a:pPr lvl="0" algn="ctr" defTabSz="444500">
            <a:lnSpc>
              <a:spcPct val="90000"/>
            </a:lnSpc>
            <a:spcBef>
              <a:spcPct val="0"/>
            </a:spcBef>
            <a:spcAft>
              <a:spcPct val="35000"/>
            </a:spcAft>
          </a:pPr>
          <a:r>
            <a:rPr lang="en-US" sz="1000" kern="1200">
              <a:solidFill>
                <a:sysClr val="windowText" lastClr="000000"/>
              </a:solidFill>
            </a:rPr>
            <a:t>Up to $1 million</a:t>
          </a:r>
        </a:p>
        <a:p>
          <a:pPr lvl="0" algn="ctr" defTabSz="444500">
            <a:lnSpc>
              <a:spcPct val="90000"/>
            </a:lnSpc>
            <a:spcBef>
              <a:spcPct val="0"/>
            </a:spcBef>
            <a:spcAft>
              <a:spcPct val="35000"/>
            </a:spcAft>
          </a:pPr>
          <a:r>
            <a:rPr lang="en-US" sz="1000" kern="1200">
              <a:solidFill>
                <a:sysClr val="windowText" lastClr="000000"/>
              </a:solidFill>
            </a:rPr>
            <a:t>Up to 2 years</a:t>
          </a:r>
        </a:p>
      </dsp:txBody>
      <dsp:txXfrm>
        <a:off x="2400682" y="211537"/>
        <a:ext cx="1308488" cy="872324"/>
      </dsp:txXfrm>
    </dsp:sp>
    <dsp:sp modelId="{BEB74195-2B03-401D-AAA4-8385B3948D7D}">
      <dsp:nvSpPr>
        <dsp:cNvPr id="0" name=""/>
        <dsp:cNvSpPr/>
      </dsp:nvSpPr>
      <dsp:spPr>
        <a:xfrm>
          <a:off x="3927251" y="211537"/>
          <a:ext cx="2180812" cy="872324"/>
        </a:xfrm>
        <a:prstGeom prst="chevron">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b="1" kern="1200"/>
            <a:t>Phase III -Commercialization</a:t>
          </a:r>
        </a:p>
        <a:p>
          <a:pPr lvl="0" algn="ctr" defTabSz="444500">
            <a:lnSpc>
              <a:spcPct val="90000"/>
            </a:lnSpc>
            <a:spcBef>
              <a:spcPct val="0"/>
            </a:spcBef>
            <a:spcAft>
              <a:spcPct val="35000"/>
            </a:spcAft>
          </a:pPr>
          <a:r>
            <a:rPr lang="en-US" sz="1000" kern="1200"/>
            <a:t>No SBIR/STTR  funding</a:t>
          </a:r>
        </a:p>
        <a:p>
          <a:pPr lvl="0" algn="ctr" defTabSz="444500">
            <a:lnSpc>
              <a:spcPct val="90000"/>
            </a:lnSpc>
            <a:spcBef>
              <a:spcPct val="0"/>
            </a:spcBef>
            <a:spcAft>
              <a:spcPct val="35000"/>
            </a:spcAft>
          </a:pPr>
          <a:r>
            <a:rPr lang="en-US" sz="1000" kern="1200"/>
            <a:t> May take several years</a:t>
          </a:r>
        </a:p>
      </dsp:txBody>
      <dsp:txXfrm>
        <a:off x="4363413" y="211537"/>
        <a:ext cx="1308488" cy="8723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C1A734-1B60-4F4F-8196-C55225909837}">
      <dsp:nvSpPr>
        <dsp:cNvPr id="0" name=""/>
        <dsp:cNvSpPr/>
      </dsp:nvSpPr>
      <dsp:spPr>
        <a:xfrm>
          <a:off x="1572354" y="377391"/>
          <a:ext cx="2689522" cy="2689522"/>
        </a:xfrm>
        <a:prstGeom prst="blockArc">
          <a:avLst>
            <a:gd name="adj1" fmla="val 12600000"/>
            <a:gd name="adj2" fmla="val 16200000"/>
            <a:gd name="adj3" fmla="val 451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E6414B7-9FF4-4889-ACE6-31FB51DF5657}">
      <dsp:nvSpPr>
        <dsp:cNvPr id="0" name=""/>
        <dsp:cNvSpPr/>
      </dsp:nvSpPr>
      <dsp:spPr>
        <a:xfrm>
          <a:off x="1572354" y="377391"/>
          <a:ext cx="2689522" cy="2689522"/>
        </a:xfrm>
        <a:prstGeom prst="blockArc">
          <a:avLst>
            <a:gd name="adj1" fmla="val 9000000"/>
            <a:gd name="adj2" fmla="val 12600000"/>
            <a:gd name="adj3" fmla="val 451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E2EF93D-8D2E-4B59-A5BF-9E14ACA97938}">
      <dsp:nvSpPr>
        <dsp:cNvPr id="0" name=""/>
        <dsp:cNvSpPr/>
      </dsp:nvSpPr>
      <dsp:spPr>
        <a:xfrm>
          <a:off x="1572354" y="377391"/>
          <a:ext cx="2689522" cy="2689522"/>
        </a:xfrm>
        <a:prstGeom prst="blockArc">
          <a:avLst>
            <a:gd name="adj1" fmla="val 5400000"/>
            <a:gd name="adj2" fmla="val 9000000"/>
            <a:gd name="adj3" fmla="val 451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EAFA72C-14B0-434C-B94C-EB8F0D335D69}">
      <dsp:nvSpPr>
        <dsp:cNvPr id="0" name=""/>
        <dsp:cNvSpPr/>
      </dsp:nvSpPr>
      <dsp:spPr>
        <a:xfrm>
          <a:off x="1572354" y="377391"/>
          <a:ext cx="2689522" cy="2689522"/>
        </a:xfrm>
        <a:prstGeom prst="blockArc">
          <a:avLst>
            <a:gd name="adj1" fmla="val 1800000"/>
            <a:gd name="adj2" fmla="val 5400000"/>
            <a:gd name="adj3" fmla="val 451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A5D96D-79D9-4C33-8E7F-B00B49B7CE7A}">
      <dsp:nvSpPr>
        <dsp:cNvPr id="0" name=""/>
        <dsp:cNvSpPr/>
      </dsp:nvSpPr>
      <dsp:spPr>
        <a:xfrm>
          <a:off x="1572354" y="377391"/>
          <a:ext cx="2689522" cy="2689522"/>
        </a:xfrm>
        <a:prstGeom prst="blockArc">
          <a:avLst>
            <a:gd name="adj1" fmla="val 19800000"/>
            <a:gd name="adj2" fmla="val 1800000"/>
            <a:gd name="adj3" fmla="val 451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8E521E-AB22-4D1F-A191-54C14F852F8F}">
      <dsp:nvSpPr>
        <dsp:cNvPr id="0" name=""/>
        <dsp:cNvSpPr/>
      </dsp:nvSpPr>
      <dsp:spPr>
        <a:xfrm>
          <a:off x="1572354" y="377391"/>
          <a:ext cx="2689522" cy="2689522"/>
        </a:xfrm>
        <a:prstGeom prst="blockArc">
          <a:avLst>
            <a:gd name="adj1" fmla="val 16200000"/>
            <a:gd name="adj2" fmla="val 19800000"/>
            <a:gd name="adj3" fmla="val 451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CBA8D3-E828-41A6-B45C-8899F963777E}">
      <dsp:nvSpPr>
        <dsp:cNvPr id="0" name=""/>
        <dsp:cNvSpPr/>
      </dsp:nvSpPr>
      <dsp:spPr>
        <a:xfrm>
          <a:off x="2258927" y="1119449"/>
          <a:ext cx="1316377" cy="1205407"/>
        </a:xfrm>
        <a:prstGeom prst="ellipse">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SBIR / STTR Evaluation Framework</a:t>
          </a:r>
        </a:p>
      </dsp:txBody>
      <dsp:txXfrm>
        <a:off x="2451706" y="1295977"/>
        <a:ext cx="930819" cy="852351"/>
      </dsp:txXfrm>
    </dsp:sp>
    <dsp:sp modelId="{26563782-B198-4C10-A4AC-A71448F6EAD7}">
      <dsp:nvSpPr>
        <dsp:cNvPr id="0" name=""/>
        <dsp:cNvSpPr/>
      </dsp:nvSpPr>
      <dsp:spPr>
        <a:xfrm>
          <a:off x="2391669" y="16289"/>
          <a:ext cx="1050892" cy="782956"/>
        </a:xfrm>
        <a:prstGeom prst="ellipse">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t>1. Engage Stakeholders</a:t>
          </a:r>
        </a:p>
      </dsp:txBody>
      <dsp:txXfrm>
        <a:off x="2545569" y="130950"/>
        <a:ext cx="743092" cy="553634"/>
      </dsp:txXfrm>
    </dsp:sp>
    <dsp:sp modelId="{03AAD6C6-09AC-4ACA-BAD2-6E85863D6676}">
      <dsp:nvSpPr>
        <dsp:cNvPr id="0" name=""/>
        <dsp:cNvSpPr/>
      </dsp:nvSpPr>
      <dsp:spPr>
        <a:xfrm>
          <a:off x="3452796" y="710085"/>
          <a:ext cx="1205220" cy="709749"/>
        </a:xfrm>
        <a:prstGeom prst="ellipse">
          <a:avLst/>
        </a:prstGeom>
        <a:solidFill>
          <a:schemeClr val="tx1">
            <a:lumMod val="65000"/>
            <a:lumOff val="3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t>2.  Describe the Program</a:t>
          </a:r>
        </a:p>
      </dsp:txBody>
      <dsp:txXfrm>
        <a:off x="3629296" y="814025"/>
        <a:ext cx="852220" cy="501869"/>
      </dsp:txXfrm>
    </dsp:sp>
    <dsp:sp modelId="{DBC880F6-2102-4CAB-84FD-02AA52E388F0}">
      <dsp:nvSpPr>
        <dsp:cNvPr id="0" name=""/>
        <dsp:cNvSpPr/>
      </dsp:nvSpPr>
      <dsp:spPr>
        <a:xfrm>
          <a:off x="3472094" y="1976809"/>
          <a:ext cx="1166625" cy="805072"/>
        </a:xfrm>
        <a:prstGeom prst="ellipse">
          <a:avLst/>
        </a:prstGeom>
        <a:solidFill>
          <a:schemeClr val="accent1">
            <a:hueOff val="0"/>
            <a:satOff val="0"/>
            <a:lumOff val="0"/>
            <a:alphaOff val="0"/>
          </a:schemeClr>
        </a:solidFill>
        <a:ln w="381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t>3.  Focus the Design</a:t>
          </a:r>
        </a:p>
      </dsp:txBody>
      <dsp:txXfrm>
        <a:off x="3642942" y="2094709"/>
        <a:ext cx="824929" cy="569272"/>
      </dsp:txXfrm>
    </dsp:sp>
    <dsp:sp modelId="{445AFD15-14D6-47CA-B33B-86FEBFFD119C}">
      <dsp:nvSpPr>
        <dsp:cNvPr id="0" name=""/>
        <dsp:cNvSpPr/>
      </dsp:nvSpPr>
      <dsp:spPr>
        <a:xfrm>
          <a:off x="2319745" y="2614645"/>
          <a:ext cx="1194740" cy="8437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t>4.  Gather Data</a:t>
          </a:r>
        </a:p>
      </dsp:txBody>
      <dsp:txXfrm>
        <a:off x="2494711" y="2738214"/>
        <a:ext cx="844808" cy="596647"/>
      </dsp:txXfrm>
    </dsp:sp>
    <dsp:sp modelId="{A1CB0D0A-FD19-498F-AE1F-5DAF84EB56AF}">
      <dsp:nvSpPr>
        <dsp:cNvPr id="0" name=""/>
        <dsp:cNvSpPr/>
      </dsp:nvSpPr>
      <dsp:spPr>
        <a:xfrm>
          <a:off x="1184998" y="2009953"/>
          <a:ext cx="1187652" cy="7387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t>5.  Draw Conclusions</a:t>
          </a:r>
        </a:p>
      </dsp:txBody>
      <dsp:txXfrm>
        <a:off x="1358926" y="2118145"/>
        <a:ext cx="839796" cy="522400"/>
      </dsp:txXfrm>
    </dsp:sp>
    <dsp:sp modelId="{8839BCD8-6772-4FD2-95A0-F7F0618A0C76}">
      <dsp:nvSpPr>
        <dsp:cNvPr id="0" name=""/>
        <dsp:cNvSpPr/>
      </dsp:nvSpPr>
      <dsp:spPr>
        <a:xfrm>
          <a:off x="1213067" y="674996"/>
          <a:ext cx="1131515" cy="7799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t>6.  Present findings</a:t>
          </a:r>
        </a:p>
      </dsp:txBody>
      <dsp:txXfrm>
        <a:off x="1378774" y="789214"/>
        <a:ext cx="800101" cy="55149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0.55181</cdr:x>
      <cdr:y>0.79891</cdr:y>
    </cdr:from>
    <cdr:to>
      <cdr:x>0.98554</cdr:x>
      <cdr:y>1</cdr:y>
    </cdr:to>
    <cdr:sp macro="" textlink="">
      <cdr:nvSpPr>
        <cdr:cNvPr id="2" name="Text Box 1"/>
        <cdr:cNvSpPr txBox="1"/>
      </cdr:nvSpPr>
      <cdr:spPr>
        <a:xfrm xmlns:a="http://schemas.openxmlformats.org/drawingml/2006/main">
          <a:off x="2093976" y="1672970"/>
          <a:ext cx="1645920" cy="42100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800" b="1" i="1">
              <a:solidFill>
                <a:srgbClr val="FF0000"/>
              </a:solidFill>
            </a:rPr>
            <a:t>Data is not real.  </a:t>
          </a:r>
        </a:p>
        <a:p xmlns:a="http://schemas.openxmlformats.org/drawingml/2006/main">
          <a:pPr algn="ctr"/>
          <a:r>
            <a:rPr lang="en-US" sz="800" b="1" i="1">
              <a:solidFill>
                <a:srgbClr val="FF0000"/>
              </a:solidFill>
            </a:rPr>
            <a:t>Chart for example purposes only.</a:t>
          </a:r>
        </a:p>
      </cdr:txBody>
    </cdr:sp>
  </cdr:relSizeAnchor>
</c:userShapes>
</file>

<file path=word/drawings/drawing2.xml><?xml version="1.0" encoding="utf-8"?>
<c:userShapes xmlns:c="http://schemas.openxmlformats.org/drawingml/2006/chart">
  <cdr:relSizeAnchor xmlns:cdr="http://schemas.openxmlformats.org/drawingml/2006/chartDrawing">
    <cdr:from>
      <cdr:x>0.34091</cdr:x>
      <cdr:y>0.5</cdr:y>
    </cdr:from>
    <cdr:to>
      <cdr:x>0.76061</cdr:x>
      <cdr:y>0.76296</cdr:y>
    </cdr:to>
    <cdr:sp macro="" textlink="">
      <cdr:nvSpPr>
        <cdr:cNvPr id="3" name="Text Box 2"/>
        <cdr:cNvSpPr txBox="1"/>
      </cdr:nvSpPr>
      <cdr:spPr>
        <a:xfrm xmlns:a="http://schemas.openxmlformats.org/drawingml/2006/main">
          <a:off x="2057400" y="1234440"/>
          <a:ext cx="2532888" cy="649224"/>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none" rtlCol="0"/>
        <a:lstStyle xmlns:a="http://schemas.openxmlformats.org/drawingml/2006/main"/>
        <a:p xmlns:a="http://schemas.openxmlformats.org/drawingml/2006/main">
          <a:pPr algn="ctr"/>
          <a:r>
            <a:rPr lang="en-US" sz="1100" b="1" i="1">
              <a:solidFill>
                <a:srgbClr val="C00000"/>
              </a:solidFill>
              <a:effectLst/>
              <a:latin typeface="+mn-lt"/>
              <a:ea typeface="+mn-ea"/>
              <a:cs typeface="+mn-cs"/>
            </a:rPr>
            <a:t>Data is not real.  </a:t>
          </a:r>
        </a:p>
        <a:p xmlns:a="http://schemas.openxmlformats.org/drawingml/2006/main">
          <a:pPr algn="ctr"/>
          <a:r>
            <a:rPr lang="en-US" sz="1100" b="1" i="1">
              <a:solidFill>
                <a:srgbClr val="C00000"/>
              </a:solidFill>
              <a:effectLst/>
              <a:latin typeface="+mn-lt"/>
              <a:ea typeface="+mn-ea"/>
              <a:cs typeface="+mn-cs"/>
            </a:rPr>
            <a:t>Chart provided for example purposes only.</a:t>
          </a:r>
          <a:endParaRPr lang="en-US" sz="1100" b="1" i="1">
            <a:solidFill>
              <a:srgbClr val="C00000"/>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0.71851</cdr:x>
      <cdr:y>0.60661</cdr:y>
    </cdr:from>
    <cdr:to>
      <cdr:x>0.92871</cdr:x>
      <cdr:y>0.75269</cdr:y>
    </cdr:to>
    <cdr:sp macro="" textlink="">
      <cdr:nvSpPr>
        <cdr:cNvPr id="2" name="Text Box 1"/>
        <cdr:cNvSpPr txBox="1"/>
      </cdr:nvSpPr>
      <cdr:spPr>
        <a:xfrm xmlns:a="http://schemas.openxmlformats.org/drawingml/2006/main">
          <a:off x="3560618" y="1697181"/>
          <a:ext cx="1041630" cy="408709"/>
        </a:xfrm>
        <a:prstGeom xmlns:a="http://schemas.openxmlformats.org/drawingml/2006/main" prst="rect">
          <a:avLst/>
        </a:prstGeom>
        <a:solidFill xmlns:a="http://schemas.openxmlformats.org/drawingml/2006/main">
          <a:schemeClr val="bg1">
            <a:alpha val="54000"/>
          </a:schemeClr>
        </a:solidFill>
      </cdr:spPr>
      <cdr:txBody>
        <a:bodyPr xmlns:a="http://schemas.openxmlformats.org/drawingml/2006/main" vertOverflow="clip" wrap="none" rtlCol="0"/>
        <a:lstStyle xmlns:a="http://schemas.openxmlformats.org/drawingml/2006/main"/>
        <a:p xmlns:a="http://schemas.openxmlformats.org/drawingml/2006/main">
          <a:pPr algn="ctr"/>
          <a:r>
            <a:rPr lang="en-US" sz="900" b="1">
              <a:solidFill>
                <a:srgbClr val="FF0000"/>
              </a:solidFill>
            </a:rPr>
            <a:t>Data is not real.</a:t>
          </a:r>
        </a:p>
        <a:p xmlns:a="http://schemas.openxmlformats.org/drawingml/2006/main">
          <a:pPr algn="ctr"/>
          <a:r>
            <a:rPr lang="en-US" sz="900" b="1">
              <a:solidFill>
                <a:srgbClr val="FF0000"/>
              </a:solidFill>
            </a:rPr>
            <a:t>Chart is for example purposes only.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1AE76E2581543AB5D1D9DD5EC4B49" ma:contentTypeVersion="0" ma:contentTypeDescription="Create a new document." ma:contentTypeScope="" ma:versionID="d641fca5cf1fc1c95e63b5ef4f8560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FCC8-2A31-41DC-9D3F-F5543EBF8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7C4A6-283C-4687-B7E1-91A5F515E5C0}">
  <ds:schemaRefs>
    <ds:schemaRef ds:uri="http://schemas.microsoft.com/sharepoint/v3/contenttype/forms"/>
  </ds:schemaRefs>
</ds:datastoreItem>
</file>

<file path=customXml/itemProps3.xml><?xml version="1.0" encoding="utf-8"?>
<ds:datastoreItem xmlns:ds="http://schemas.openxmlformats.org/officeDocument/2006/customXml" ds:itemID="{489DA0F3-7BAC-4B5A-B68A-EFF727F8FEB9}">
  <ds:schemaRef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6EDCC42-C9C0-41BC-943F-82787A2E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5087</Words>
  <Characters>29002</Characters>
  <Application>Microsoft Office Word</Application>
  <DocSecurity>12</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TMJamers</dc:creator>
  <cp:lastModifiedBy>Giha Villazon</cp:lastModifiedBy>
  <cp:revision>2</cp:revision>
  <cp:lastPrinted>2013-12-06T14:34:00Z</cp:lastPrinted>
  <dcterms:created xsi:type="dcterms:W3CDTF">2015-03-22T05:00:00Z</dcterms:created>
  <dcterms:modified xsi:type="dcterms:W3CDTF">2015-03-22T05:00:00Z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0x010100D511AE76E2581543AB5D1D9DD5EC4B49</vt:lpwstr>
  </property>
</Properties>
</file>